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CC5EBE0" w14:textId="77777777" w:rsidR="0095614C" w:rsidRPr="0095614C" w:rsidRDefault="0095614C" w:rsidP="0095614C">
      <w:pPr>
        <w:spacing w:after="240" w:line="240" w:lineRule="auto"/>
        <w:jc w:val="both"/>
        <w:rPr>
          <w:rFonts w:ascii="Calibri" w:eastAsia="Times New Roman" w:hAnsi="Calibri" w:cs="Calibri"/>
          <w:color w:val="000000"/>
          <w:kern w:val="0"/>
          <w:sz w:val="22"/>
          <w:szCs w:val="22"/>
          <w14:ligatures w14:val="none"/>
        </w:rPr>
      </w:pPr>
      <w:r w:rsidRPr="0095614C">
        <w:rPr>
          <w:rFonts w:ascii="Calibri" w:eastAsia="Times New Roman" w:hAnsi="Calibri" w:cs="Calibri"/>
          <w:color w:val="000000"/>
          <w:kern w:val="0"/>
          <w14:ligatures w14:val="none"/>
        </w:rPr>
        <w:t>Investors in America are aware that our nation’s $40 trillion debt is troublesome, now requiring annual interest payments of $1 trillion and projected to rise further (Congressional Budget Office and US Treasury Department). However, few investors are focused on the broader implications. Many other advanced foreign economies are plagued with the same problem as ours, resulting in global debt surpassing $350 trillion, according to The Institute of International Finance.  As a result, interest rates overseas are rising, too.  Therefore, the bonds of foreign governments with large debt loads are also under heavy pressure, including France, Italy, the U.K., Japan and others.  While some investors have been fearful for years that a bond crisis is inevitable, financial market history does not necessarily support this conclusion. The Investment Counsel Company (ICC) structures client fixed income portfolios with these concerns in mind. </w:t>
      </w:r>
    </w:p>
    <w:p w14:paraId="4FF6EC9B" w14:textId="77777777" w:rsidR="0095614C" w:rsidRPr="0095614C" w:rsidRDefault="0095614C" w:rsidP="0095614C">
      <w:pPr>
        <w:spacing w:after="240" w:line="240" w:lineRule="auto"/>
        <w:jc w:val="both"/>
        <w:rPr>
          <w:rFonts w:ascii="Calibri" w:eastAsia="Times New Roman" w:hAnsi="Calibri" w:cs="Calibri"/>
          <w:color w:val="000000"/>
          <w:kern w:val="0"/>
          <w:sz w:val="22"/>
          <w:szCs w:val="22"/>
          <w14:ligatures w14:val="none"/>
        </w:rPr>
      </w:pPr>
      <w:r w:rsidRPr="0095614C">
        <w:rPr>
          <w:rFonts w:ascii="Calibri" w:eastAsia="Times New Roman" w:hAnsi="Calibri" w:cs="Calibri"/>
          <w:color w:val="000000"/>
          <w:kern w:val="0"/>
          <w14:ligatures w14:val="none"/>
        </w:rPr>
        <w:t>In recent decades, Greece, Spain, Ireland, and Portugal confronted severe sovereign debt and banking problems that were remedied by financial restructuring, substantial fiscal and budgetary reforms. While some factors are common between the past and the present, such as excessive government spending, other circumstances are different.  The obvious distinguishing factor pushing interest rates higher is wars on multiple fronts causing higher commodity prices, especially in energy.  Also notable are inflationary prices resulting from rising trade barriers.  Less apparent is the expected $10 trillion in additional debt financing driven by the artificial intelligence boom over the next five to six years.  Technology companies selling debt are competing with governments and other industries also needing to borrow from bond buyers.  The excess supply of debt from borrowers in relation to the demand from a limited number of bond buyers (lenders) forces borrowers to pay higher interest rates to access increasing amounts of capital. Thus, this recent AI phenomenon is partially contributing to higher interest rates.</w:t>
      </w:r>
    </w:p>
    <w:p w14:paraId="4EDFD64B" w14:textId="77777777" w:rsidR="0095614C" w:rsidRPr="0095614C" w:rsidRDefault="0095614C" w:rsidP="0095614C">
      <w:pPr>
        <w:spacing w:after="240" w:line="240" w:lineRule="auto"/>
        <w:jc w:val="both"/>
        <w:rPr>
          <w:rFonts w:ascii="Calibri" w:eastAsia="Times New Roman" w:hAnsi="Calibri" w:cs="Calibri"/>
          <w:color w:val="000000"/>
          <w:kern w:val="0"/>
          <w:sz w:val="22"/>
          <w:szCs w:val="22"/>
          <w14:ligatures w14:val="none"/>
        </w:rPr>
      </w:pPr>
      <w:r w:rsidRPr="0095614C">
        <w:rPr>
          <w:rFonts w:ascii="Calibri" w:eastAsia="Times New Roman" w:hAnsi="Calibri" w:cs="Calibri"/>
          <w:color w:val="000000"/>
          <w:kern w:val="0"/>
          <w14:ligatures w14:val="none"/>
        </w:rPr>
        <w:t>For these reasons and more, ICC clients do not have any material exposure to foreign bonds and hold limited maturity bonds to reduce volatility across the fixed income portion of portfolios.  Intermediate maturity, high-quality, taxable and/or tax-exempt bonds are purchased by investors expecting to receive 85% of the income with 50% less downside risk compared to longer-term core bond strategies.  When interest rates rise, like now, intermediate maturity bonds recover faster than longer dated maturities.  Regardless of near-term price changes, high-quality bonds mature at 100 cents on the dollar, addressing investor concerns.  ICC also employs a complementary strategy for clients with taxable bonds that pay principal monthly, not just interest, that can be reinvested into higher interest bonds in market conditions like today.  This strategy can also reduce downside volatility and accelerate price recovery for our investors.</w:t>
      </w:r>
    </w:p>
    <w:p w14:paraId="7C2CC8DE" w14:textId="77777777" w:rsidR="0095614C" w:rsidRPr="0095614C" w:rsidRDefault="0095614C" w:rsidP="0095614C">
      <w:pPr>
        <w:spacing w:after="240" w:line="240" w:lineRule="auto"/>
        <w:jc w:val="both"/>
        <w:rPr>
          <w:rFonts w:ascii="Calibri" w:eastAsia="Times New Roman" w:hAnsi="Calibri" w:cs="Calibri"/>
          <w:color w:val="000000"/>
          <w:kern w:val="0"/>
          <w:sz w:val="22"/>
          <w:szCs w:val="22"/>
          <w14:ligatures w14:val="none"/>
        </w:rPr>
      </w:pPr>
      <w:r w:rsidRPr="0095614C">
        <w:rPr>
          <w:rFonts w:ascii="Calibri" w:eastAsia="Times New Roman" w:hAnsi="Calibri" w:cs="Calibri"/>
          <w:color w:val="000000"/>
          <w:kern w:val="0"/>
          <w14:ligatures w14:val="none"/>
        </w:rPr>
        <w:t xml:space="preserve">ICC does not sell and rebuy bonds based upon forecasting short-term interest rate trends.  Investors who attempt such a feat purport to have superior forecasting skills and know more about the future direction of interest rates than the Federal Reserve and leading economists, both full-time, deeply qualified professionals with access to more economic data.  The best in our industry have learned that those who make the fewest errors win. Charlie Munger said to his partner at one of Berkshire Hathaway’s annual shareholder meetings, “Warren, if people weren’t so often wrong, we wouldn’t be so rich.”  We recognize that no investment strategy works 100% of the time, nor does it need to, but successful strategies work </w:t>
      </w:r>
      <w:proofErr w:type="gramStart"/>
      <w:r w:rsidRPr="0095614C">
        <w:rPr>
          <w:rFonts w:ascii="Calibri" w:eastAsia="Times New Roman" w:hAnsi="Calibri" w:cs="Calibri"/>
          <w:color w:val="000000"/>
          <w:kern w:val="0"/>
          <w14:ligatures w14:val="none"/>
        </w:rPr>
        <w:lastRenderedPageBreak/>
        <w:t>over time</w:t>
      </w:r>
      <w:proofErr w:type="gramEnd"/>
      <w:r w:rsidRPr="0095614C">
        <w:rPr>
          <w:rFonts w:ascii="Calibri" w:eastAsia="Times New Roman" w:hAnsi="Calibri" w:cs="Calibri"/>
          <w:color w:val="000000"/>
          <w:kern w:val="0"/>
          <w14:ligatures w14:val="none"/>
        </w:rPr>
        <w:t>.  ICC’s strategies are thoughtfully constructed to do exactly that by avoiding credit default risk during recessions, benefiting from higher interest rates during stronger economic periods, and constraining price volatility during challenging market environments.</w:t>
      </w:r>
    </w:p>
    <w:p w14:paraId="5D22F3BE" w14:textId="77777777" w:rsidR="0095614C" w:rsidRPr="0095614C" w:rsidRDefault="0095614C" w:rsidP="0095614C">
      <w:pPr>
        <w:spacing w:after="240" w:line="240" w:lineRule="auto"/>
        <w:jc w:val="both"/>
        <w:rPr>
          <w:rFonts w:ascii="Calibri" w:eastAsia="Times New Roman" w:hAnsi="Calibri" w:cs="Calibri"/>
          <w:color w:val="000000"/>
          <w:kern w:val="0"/>
          <w:sz w:val="22"/>
          <w:szCs w:val="22"/>
          <w14:ligatures w14:val="none"/>
        </w:rPr>
      </w:pPr>
      <w:r w:rsidRPr="0095614C">
        <w:rPr>
          <w:rFonts w:ascii="Calibri" w:eastAsia="Times New Roman" w:hAnsi="Calibri" w:cs="Calibri"/>
          <w:color w:val="000000"/>
          <w:kern w:val="0"/>
          <w14:ligatures w14:val="none"/>
        </w:rPr>
        <w:t>Historically, long-term bonds generally yield one percent above inflation. Today, 30-year U.S. Treasury bonds are yielding 5.66%, far above 3.4% headline inflation, resulting in bonds starting to look more attractive relative to stocks for the first time in years, according to some asset managers.  Rick Rieder, Chief Investment Officer of Global Fixed Income for the industry’s largest asset manager, BlackRock, a $15 trillion asset management firm, exclaimed in a recent CNBC interview, “I’m thrilled about the risk-reward proposition that bonds offer.  I’ve waited four decades for this opportunity.”  Further supporting this view, flows into bond funds so far this year have already outpaced those of every full year since 2021. </w:t>
      </w:r>
    </w:p>
    <w:p w14:paraId="20EDAD0C" w14:textId="77777777" w:rsidR="0095614C" w:rsidRPr="0095614C" w:rsidRDefault="0095614C" w:rsidP="0095614C">
      <w:pPr>
        <w:spacing w:after="240" w:line="240" w:lineRule="auto"/>
        <w:jc w:val="both"/>
        <w:rPr>
          <w:rFonts w:ascii="Calibri" w:eastAsia="Times New Roman" w:hAnsi="Calibri" w:cs="Calibri"/>
          <w:color w:val="000000"/>
          <w:kern w:val="0"/>
          <w:sz w:val="22"/>
          <w:szCs w:val="22"/>
          <w14:ligatures w14:val="none"/>
        </w:rPr>
      </w:pPr>
      <w:r w:rsidRPr="0095614C">
        <w:rPr>
          <w:rFonts w:ascii="Calibri" w:eastAsia="Times New Roman" w:hAnsi="Calibri" w:cs="Calibri"/>
          <w:color w:val="000000"/>
          <w:kern w:val="0"/>
          <w14:ligatures w14:val="none"/>
        </w:rPr>
        <w:t>Diversified portfolios are designed to cushion difficult higher volatile periods, not avoid them.  Nevertheless, some investors lack the discipline required to achieve satisfactory longer-term results.  In other words, they cannot refrain from thinking, or worse, attempt to evade occasional drops in an asset class, often to their detriment.  When diversified portfolios are delivering intended results, different asset classes (equities, fixed income, real estate, etc.) produce attractive performance over time, but not necessarily at the same time. That way when one or more asset classes are confronting difficult market periods, other asset classes are exhibiting far better relative near-term performance.  The result is a more consistent-performing overall investment strategy.  2026 clearly showcases this scenario.  Although bonds have declined marginally, double-digit stock appreciation by several of ICC’s high-ranking equity managers according to Morningstar, as well as our early decision to refrain from rebalancing stocks and adding to bonds, have led to overall impressive results by conventional measures.  </w:t>
      </w:r>
    </w:p>
    <w:p w14:paraId="591463D9" w14:textId="77777777" w:rsidR="0095614C" w:rsidRPr="0095614C" w:rsidRDefault="0095614C" w:rsidP="0095614C">
      <w:pPr>
        <w:spacing w:after="240" w:line="240" w:lineRule="auto"/>
        <w:jc w:val="both"/>
        <w:rPr>
          <w:rFonts w:ascii="Calibri" w:eastAsia="Times New Roman" w:hAnsi="Calibri" w:cs="Calibri"/>
          <w:color w:val="000000"/>
          <w:kern w:val="0"/>
          <w:sz w:val="22"/>
          <w:szCs w:val="22"/>
          <w14:ligatures w14:val="none"/>
        </w:rPr>
      </w:pPr>
      <w:r w:rsidRPr="0095614C">
        <w:rPr>
          <w:rFonts w:ascii="Calibri" w:eastAsia="Times New Roman" w:hAnsi="Calibri" w:cs="Calibri"/>
          <w:color w:val="000000"/>
          <w:kern w:val="0"/>
          <w14:ligatures w14:val="none"/>
        </w:rPr>
        <w:t>This year has been challenging due to the U.S. equity market advancing solely due to a handful of stocks linked to artificial intelligence dramatically outperforming nearly all other stocks and industries.  Delivering mixed results, early performance leaders such as foreign companies, small companies, and value companies have turned over leadership to domestic, large, and growth companies.  Therefore, few stocks outperformed the Standard &amp; Poor’s 500 Index, carrying the index to all-time historical highs.  By contrast, the mid and small capitalization, foreign, and value equity managers ICC clients utilize to create their broadly diversified strategies, have performed among the very best in their respective peer group. As a result, managers have avoided any material drag on performance, thereby contributing to impressive overall results. </w:t>
      </w:r>
    </w:p>
    <w:p w14:paraId="7E476866" w14:textId="77777777" w:rsidR="0095614C" w:rsidRPr="0095614C" w:rsidRDefault="0095614C" w:rsidP="0095614C">
      <w:pPr>
        <w:spacing w:after="240" w:line="240" w:lineRule="auto"/>
        <w:jc w:val="both"/>
        <w:rPr>
          <w:rFonts w:ascii="Calibri" w:eastAsia="Times New Roman" w:hAnsi="Calibri" w:cs="Calibri"/>
          <w:color w:val="000000"/>
          <w:kern w:val="0"/>
          <w:sz w:val="22"/>
          <w:szCs w:val="22"/>
          <w14:ligatures w14:val="none"/>
        </w:rPr>
      </w:pPr>
      <w:r w:rsidRPr="0095614C">
        <w:rPr>
          <w:rFonts w:ascii="Calibri" w:eastAsia="Times New Roman" w:hAnsi="Calibri" w:cs="Calibri"/>
          <w:color w:val="000000"/>
          <w:kern w:val="0"/>
          <w14:ligatures w14:val="none"/>
        </w:rPr>
        <w:t>Effectively managing financial wealth is undoubtedly a full-time responsibility.  And not all financial advisory firms deliver the same results. Your team works unconditionally, without conflicts of interest, to closely monitor clients’ securities positions daily, diligently measure and manage strategy risk, continually explore new compelling investment opportunities, alternative strategies, and top money management firms not accessible to most peers, and much more.  My team and I are grateful for this privilege on behalf of our valued clients.</w:t>
      </w:r>
    </w:p>
    <w:p w14:paraId="147D18D4" w14:textId="77777777" w:rsidR="0095614C" w:rsidRPr="0095614C" w:rsidRDefault="0095614C" w:rsidP="0095614C">
      <w:pPr>
        <w:spacing w:after="240" w:line="240" w:lineRule="auto"/>
        <w:jc w:val="both"/>
        <w:rPr>
          <w:rFonts w:ascii="Calibri" w:eastAsia="Times New Roman" w:hAnsi="Calibri" w:cs="Calibri"/>
          <w:color w:val="000000"/>
          <w:kern w:val="0"/>
          <w:sz w:val="22"/>
          <w:szCs w:val="22"/>
          <w14:ligatures w14:val="none"/>
        </w:rPr>
      </w:pPr>
      <w:r w:rsidRPr="0095614C">
        <w:rPr>
          <w:rFonts w:ascii="Calibri" w:eastAsia="Times New Roman" w:hAnsi="Calibri" w:cs="Calibri"/>
          <w:color w:val="000000"/>
          <w:kern w:val="0"/>
          <w14:ligatures w14:val="none"/>
        </w:rPr>
        <w:t xml:space="preserve">The ICC team and I are proud to share that two Dow Jones financial publications, The Wall Street Journal and Barron’s, ranked us as one of the top 100 financial advisors in the nation again in </w:t>
      </w:r>
      <w:r w:rsidRPr="0095614C">
        <w:rPr>
          <w:rFonts w:ascii="Calibri" w:eastAsia="Times New Roman" w:hAnsi="Calibri" w:cs="Calibri"/>
          <w:color w:val="000000"/>
          <w:kern w:val="0"/>
          <w14:ligatures w14:val="none"/>
        </w:rPr>
        <w:lastRenderedPageBreak/>
        <w:t>2026.  This is the ninth year we have been included in the industry’s top 100 ranking.  Only 10 other professionals in the wealth management industry have been ranked nine times.  The team and I would like to express our deep appreciation for affording us the opportunity to provide guidance, perspective and judgement resulting in acknowledgement from the financial services industry.</w:t>
      </w:r>
    </w:p>
    <w:p w14:paraId="77F24C25" w14:textId="77777777" w:rsidR="005E797D" w:rsidRDefault="005E797D"/>
    <w:sectPr w:rsidR="005E797D" w:rsidSect="005242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14C"/>
    <w:rsid w:val="00185D91"/>
    <w:rsid w:val="00524226"/>
    <w:rsid w:val="005E797D"/>
    <w:rsid w:val="007C2970"/>
    <w:rsid w:val="007C41AA"/>
    <w:rsid w:val="008A5D03"/>
    <w:rsid w:val="0090516E"/>
    <w:rsid w:val="0095614C"/>
    <w:rsid w:val="00B0740E"/>
    <w:rsid w:val="00DA74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5A8AD0F"/>
  <w15:chartTrackingRefBased/>
  <w15:docId w15:val="{9005416A-7863-F94C-A775-9CC96252F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5614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5614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5614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5614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5614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5614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5614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5614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5614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614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5614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5614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5614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5614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561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61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61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614C"/>
    <w:rPr>
      <w:rFonts w:eastAsiaTheme="majorEastAsia" w:cstheme="majorBidi"/>
      <w:color w:val="272727" w:themeColor="text1" w:themeTint="D8"/>
    </w:rPr>
  </w:style>
  <w:style w:type="paragraph" w:styleId="Title">
    <w:name w:val="Title"/>
    <w:basedOn w:val="Normal"/>
    <w:next w:val="Normal"/>
    <w:link w:val="TitleChar"/>
    <w:uiPriority w:val="10"/>
    <w:qFormat/>
    <w:rsid w:val="009561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61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614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61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614C"/>
    <w:pPr>
      <w:spacing w:before="160"/>
      <w:jc w:val="center"/>
    </w:pPr>
    <w:rPr>
      <w:i/>
      <w:iCs/>
      <w:color w:val="404040" w:themeColor="text1" w:themeTint="BF"/>
    </w:rPr>
  </w:style>
  <w:style w:type="character" w:customStyle="1" w:styleId="QuoteChar">
    <w:name w:val="Quote Char"/>
    <w:basedOn w:val="DefaultParagraphFont"/>
    <w:link w:val="Quote"/>
    <w:uiPriority w:val="29"/>
    <w:rsid w:val="0095614C"/>
    <w:rPr>
      <w:i/>
      <w:iCs/>
      <w:color w:val="404040" w:themeColor="text1" w:themeTint="BF"/>
    </w:rPr>
  </w:style>
  <w:style w:type="paragraph" w:styleId="ListParagraph">
    <w:name w:val="List Paragraph"/>
    <w:basedOn w:val="Normal"/>
    <w:uiPriority w:val="34"/>
    <w:qFormat/>
    <w:rsid w:val="0095614C"/>
    <w:pPr>
      <w:ind w:left="720"/>
      <w:contextualSpacing/>
    </w:pPr>
  </w:style>
  <w:style w:type="character" w:styleId="IntenseEmphasis">
    <w:name w:val="Intense Emphasis"/>
    <w:basedOn w:val="DefaultParagraphFont"/>
    <w:uiPriority w:val="21"/>
    <w:qFormat/>
    <w:rsid w:val="0095614C"/>
    <w:rPr>
      <w:i/>
      <w:iCs/>
      <w:color w:val="2F5496" w:themeColor="accent1" w:themeShade="BF"/>
    </w:rPr>
  </w:style>
  <w:style w:type="paragraph" w:styleId="IntenseQuote">
    <w:name w:val="Intense Quote"/>
    <w:basedOn w:val="Normal"/>
    <w:next w:val="Normal"/>
    <w:link w:val="IntenseQuoteChar"/>
    <w:uiPriority w:val="30"/>
    <w:qFormat/>
    <w:rsid w:val="0095614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5614C"/>
    <w:rPr>
      <w:i/>
      <w:iCs/>
      <w:color w:val="2F5496" w:themeColor="accent1" w:themeShade="BF"/>
    </w:rPr>
  </w:style>
  <w:style w:type="character" w:styleId="IntenseReference">
    <w:name w:val="Intense Reference"/>
    <w:basedOn w:val="DefaultParagraphFont"/>
    <w:uiPriority w:val="32"/>
    <w:qFormat/>
    <w:rsid w:val="0095614C"/>
    <w:rPr>
      <w:b/>
      <w:bCs/>
      <w:smallCaps/>
      <w:color w:val="2F5496" w:themeColor="accent1" w:themeShade="BF"/>
      <w:spacing w:val="5"/>
    </w:rPr>
  </w:style>
  <w:style w:type="character" w:customStyle="1" w:styleId="apple-converted-space">
    <w:name w:val="apple-converted-space"/>
    <w:basedOn w:val="DefaultParagraphFont"/>
    <w:rsid w:val="009561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1171</Words>
  <Characters>6675</Characters>
  <Application>Microsoft Office Word</Application>
  <DocSecurity>0</DocSecurity>
  <Lines>55</Lines>
  <Paragraphs>15</Paragraphs>
  <ScaleCrop>false</ScaleCrop>
  <Company/>
  <LinksUpToDate>false</LinksUpToDate>
  <CharactersWithSpaces>7831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Moneypenny</dc:creator>
  <cp:keywords/>
  <dc:description/>
  <cp:lastModifiedBy>John Moneypenny</cp:lastModifiedBy>
  <cp:revision>1</cp:revision>
  <dcterms:created xsi:type="dcterms:W3CDTF">2026-10-17T13:32:00Z</dcterms:created>
  <dcterms:modified xsi:type="dcterms:W3CDTF">2026-10-17T13:33:00Z</dcterms:modified>
</cp:coreProperties>
</file>