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33AD970" w14:textId="77777777" w:rsidR="00811F16" w:rsidRPr="00811F16" w:rsidRDefault="00811F16" w:rsidP="00811F16">
      <w:pPr>
        <w:spacing w:after="240" w:line="240" w:lineRule="auto"/>
        <w:jc w:val="both"/>
        <w:rPr>
          <w:rFonts w:ascii="Aptos" w:eastAsia="Times New Roman" w:hAnsi="Aptos" w:cs="Times New Roman"/>
          <w:color w:val="000000"/>
          <w:kern w:val="0"/>
          <w14:ligatures w14:val="none"/>
        </w:rPr>
      </w:pPr>
      <w:r w:rsidRPr="00811F16">
        <w:rPr>
          <w:rFonts w:ascii="Aptos" w:eastAsia="Times New Roman" w:hAnsi="Aptos" w:cs="Times New Roman"/>
          <w:color w:val="000000"/>
          <w:kern w:val="0"/>
          <w14:ligatures w14:val="none"/>
        </w:rPr>
        <w:t>The second quarter of 2026 was one of the strongest three months in the last six years.  Investors continue to focus on artificial intelligence’s influence, for better and for worse.  While some AI related stocks doubled in price this quarter, others fell sharply. Investors are asking how artificial intelligence will change investing in the future.  And can it predict and therefore prevent major bubbles, stopping ensuing crashes? We think unlikely!  Sir John Templeton, one of the greatest global investors of the 20</w:t>
      </w:r>
      <w:r w:rsidRPr="00811F16">
        <w:rPr>
          <w:rFonts w:ascii="Aptos" w:eastAsia="Times New Roman" w:hAnsi="Aptos" w:cs="Times New Roman"/>
          <w:color w:val="000000"/>
          <w:kern w:val="0"/>
          <w:vertAlign w:val="superscript"/>
          <w14:ligatures w14:val="none"/>
        </w:rPr>
        <w:t>th</w:t>
      </w:r>
      <w:r w:rsidRPr="00811F16">
        <w:rPr>
          <w:rFonts w:ascii="Aptos" w:eastAsia="Times New Roman" w:hAnsi="Aptos" w:cs="Times New Roman"/>
          <w:color w:val="000000"/>
          <w:kern w:val="0"/>
          <w14:ligatures w14:val="none"/>
        </w:rPr>
        <w:t> century, was famous for his timeless quote, “the four most dangerous words in investing are: ‘This time it’s different’.”  Howard Marks, the world’s largest investor in distressed securities, agrees that this is a remarkable moment in history due to the transformative technology of artificial intelligence, whose supporters claim it will forever change the world. But he cautions that the dream of getting rich on the back of a revolutionary technology can easily supersede investor natural risk aversion and prudence. To mitigate this risk, ICC utilizes proven experts such as Amy Zhang, portfolio manager of the Alger Mid-Cap Focus Fund, to capitalize on investment opportunities while moderating risk by maintaining portfolio and security risk controls.</w:t>
      </w:r>
    </w:p>
    <w:p w14:paraId="03B45A29" w14:textId="77777777" w:rsidR="00811F16" w:rsidRPr="00811F16" w:rsidRDefault="00811F16" w:rsidP="00811F16">
      <w:pPr>
        <w:spacing w:after="240" w:line="240" w:lineRule="auto"/>
        <w:jc w:val="both"/>
        <w:rPr>
          <w:rFonts w:ascii="Aptos" w:eastAsia="Times New Roman" w:hAnsi="Aptos" w:cs="Times New Roman"/>
          <w:color w:val="000000"/>
          <w:kern w:val="0"/>
          <w14:ligatures w14:val="none"/>
        </w:rPr>
      </w:pPr>
      <w:r w:rsidRPr="00811F16">
        <w:rPr>
          <w:rFonts w:ascii="Aptos" w:eastAsia="Times New Roman" w:hAnsi="Aptos" w:cs="Times New Roman"/>
          <w:color w:val="000000"/>
          <w:kern w:val="0"/>
          <w14:ligatures w14:val="none"/>
        </w:rPr>
        <w:t>Technology keeps reinventing the way we invest from the introduction of the electric telegraph in 1844 to the arrival of artificial intelligence. One truth is that wealth will be concentrated in the hands of those that exploit the power of artificial intelligence to the detriment of others. New jobs will be created using this knowledge, but many jobs will be lost due to this incredible labor-saving technology, as has been the case with previous economic advances. It’s no mystery that the largest companies now dominate both the economy and everyone’s daily lives. They are also the leading investors in AI research and development and have experienced disproportionately the greatest market gains in recent years. The questions investors should be asking are: “How unusual is it this time”, and “should we be concerned?”.  ICC’s response is “not very” and “not necessarily.” History has shown that during periods of rapid advances in science and technology, bubbles occur when enthusiasm reaches irrational proportions. This time, Sir John Templeton is likely to be right, it is not that different. Investors’ speculative behavior to grab shares of SpaceX for fear of missing out (FOMO) was unprecedented, yet the stock has only performed on par with other initial public offerings, rising marginally above the opening price to the public. For the next two AI IPOs, the race between OpenAI and Anthropic, being first matters because investor demand is never certain. Buyers of AI companies are pulling back their interest due to extreme valuations, causing many stocks to retrace past gains.</w:t>
      </w:r>
    </w:p>
    <w:p w14:paraId="38F37A6A" w14:textId="77777777" w:rsidR="00811F16" w:rsidRPr="00811F16" w:rsidRDefault="00811F16" w:rsidP="00811F16">
      <w:pPr>
        <w:spacing w:after="240" w:line="240" w:lineRule="auto"/>
        <w:jc w:val="both"/>
        <w:rPr>
          <w:rFonts w:ascii="Aptos" w:eastAsia="Times New Roman" w:hAnsi="Aptos" w:cs="Times New Roman"/>
          <w:color w:val="000000"/>
          <w:kern w:val="0"/>
          <w14:ligatures w14:val="none"/>
        </w:rPr>
      </w:pPr>
      <w:r w:rsidRPr="00811F16">
        <w:rPr>
          <w:rFonts w:ascii="Aptos" w:eastAsia="Times New Roman" w:hAnsi="Aptos" w:cs="Times New Roman"/>
          <w:color w:val="000000"/>
          <w:kern w:val="0"/>
          <w14:ligatures w14:val="none"/>
        </w:rPr>
        <w:t xml:space="preserve">In my recent conversation with the Head of Firmwide AI, AI Strategy and Transformation at one of the nation’s largest New York Stock Exchange companies, he shared with me that 10% of people using AI get a 4X-5X benefit, 60% get little or no benefit, and the remainder receive some benefit. This is why companies are feverishly spending hundreds of billions annually on AI related capital expenditures to be at the front. These companies believe that if they are not first in the race, the financial benefits will be marginal for most runners-up. Likewise, investors are clamoring to identify who will be the winners and what will they be worth.  Fortunately for ICC clients, one of the best performing AI companies in the world, SK </w:t>
      </w:r>
      <w:r w:rsidRPr="00811F16">
        <w:rPr>
          <w:rFonts w:ascii="Aptos" w:eastAsia="Times New Roman" w:hAnsi="Aptos" w:cs="Times New Roman"/>
          <w:color w:val="000000"/>
          <w:kern w:val="0"/>
          <w14:ligatures w14:val="none"/>
        </w:rPr>
        <w:lastRenderedPageBreak/>
        <w:t>Hynix Inc. is held in the LSV Emerging Market Equity Institutional Fund. This South Korean company is one of LSV’s largest holdings in their portfolio, gaining 296% year-to-date.</w:t>
      </w:r>
    </w:p>
    <w:p w14:paraId="6FAC02BA" w14:textId="77777777" w:rsidR="00811F16" w:rsidRPr="00811F16" w:rsidRDefault="00811F16" w:rsidP="00811F16">
      <w:pPr>
        <w:spacing w:after="240" w:line="240" w:lineRule="auto"/>
        <w:jc w:val="both"/>
        <w:rPr>
          <w:rFonts w:ascii="Aptos" w:eastAsia="Times New Roman" w:hAnsi="Aptos" w:cs="Times New Roman"/>
          <w:color w:val="000000"/>
          <w:kern w:val="0"/>
          <w14:ligatures w14:val="none"/>
        </w:rPr>
      </w:pPr>
      <w:proofErr w:type="gramStart"/>
      <w:r w:rsidRPr="00811F16">
        <w:rPr>
          <w:rFonts w:ascii="Aptos" w:eastAsia="Times New Roman" w:hAnsi="Aptos" w:cs="Times New Roman"/>
          <w:color w:val="000000"/>
          <w:kern w:val="0"/>
          <w14:ligatures w14:val="none"/>
        </w:rPr>
        <w:t>So</w:t>
      </w:r>
      <w:proofErr w:type="gramEnd"/>
      <w:r w:rsidRPr="00811F16">
        <w:rPr>
          <w:rFonts w:ascii="Aptos" w:eastAsia="Times New Roman" w:hAnsi="Aptos" w:cs="Times New Roman"/>
          <w:color w:val="000000"/>
          <w:kern w:val="0"/>
          <w14:ligatures w14:val="none"/>
        </w:rPr>
        <w:t xml:space="preserve"> what is holding up the rest of the stock market?  Consumer Discretionary, Financials, and the Industrial sector all posted double-digit gains during the second quarter, not just Information Technology. Companies in many sectors are experiencing robust growth, and revising their profit forecasts upward, surprising Wall Street analysts. Some of the gains can be attributed to benefits derived from corporations integrating artificial intelligence into daily operations. Increasingly, investors are migrating toward these sectors where valuations and capital expenditures are more reasonable, earnings are strong, and therefore, perceived risk is lower. ICC’s discretionary client portfolios are proactively overweight here, also contributing to strong performance. </w:t>
      </w:r>
    </w:p>
    <w:p w14:paraId="34F1840B" w14:textId="77777777" w:rsidR="00811F16" w:rsidRPr="00811F16" w:rsidRDefault="00811F16" w:rsidP="00811F16">
      <w:pPr>
        <w:spacing w:after="240" w:line="240" w:lineRule="auto"/>
        <w:jc w:val="both"/>
        <w:rPr>
          <w:rFonts w:ascii="Aptos" w:eastAsia="Times New Roman" w:hAnsi="Aptos" w:cs="Times New Roman"/>
          <w:color w:val="000000"/>
          <w:kern w:val="0"/>
          <w14:ligatures w14:val="none"/>
        </w:rPr>
      </w:pPr>
      <w:r w:rsidRPr="00811F16">
        <w:rPr>
          <w:rFonts w:ascii="Aptos" w:eastAsia="Times New Roman" w:hAnsi="Aptos" w:cs="Times New Roman"/>
          <w:color w:val="000000"/>
          <w:kern w:val="0"/>
          <w14:ligatures w14:val="none"/>
        </w:rPr>
        <w:t>The market and individual stocks remain tied to the short-term and headline risk, but how much do these day-to-day fluctuations contribute to longer-term trends?  Based on industry experience and observation, “not very” and “not necessarily.” They mean absolutely nothing. After some of the largest drawdowns in history, even larger rallies followed shortly thereafter. Adhering to a disciplined approach, tolerating the shorter-term volatility created by those with less self-control, and maintaining an independent mindset, has proven far more useful and rewarding. ICC’s manager, Fuller &amp; Thaler Behavioral Mid-Cap and Small-Cap Equity Institutional Funds, capitalizes on investors’ fear and greed for the benefit of its shareholders.  </w:t>
      </w:r>
    </w:p>
    <w:p w14:paraId="3063782F" w14:textId="77777777" w:rsidR="00811F16" w:rsidRPr="00811F16" w:rsidRDefault="00811F16" w:rsidP="00811F16">
      <w:pPr>
        <w:spacing w:after="240" w:line="240" w:lineRule="auto"/>
        <w:jc w:val="both"/>
        <w:rPr>
          <w:rFonts w:ascii="Aptos" w:eastAsia="Times New Roman" w:hAnsi="Aptos" w:cs="Times New Roman"/>
          <w:color w:val="000000"/>
          <w:kern w:val="0"/>
          <w14:ligatures w14:val="none"/>
        </w:rPr>
      </w:pPr>
      <w:r w:rsidRPr="00811F16">
        <w:rPr>
          <w:rFonts w:ascii="Aptos" w:eastAsia="Times New Roman" w:hAnsi="Aptos" w:cs="Times New Roman"/>
          <w:color w:val="000000"/>
          <w:kern w:val="0"/>
          <w14:ligatures w14:val="none"/>
        </w:rPr>
        <w:t xml:space="preserve">Despite the artificial intelligence boom, investors are also closely monitoring anticipated changes at the direction of the new Federal Reserve Chairman, Kevin Warsh. The Fed’s mandate is to achieve maximum employment and stable prices, referring to price inflation.  What is unusual, yet not different, is that today’s inflation is primarily driven by the supply side, not consumer demand. In other words, consumers are not buying more oil; there is a supply shortage due to the Iran War. Likewise, escalating healthcare costs are not attributed to an increase in demand either. The Fed understands that its primary tool of changing interest rates can alter </w:t>
      </w:r>
      <w:proofErr w:type="gramStart"/>
      <w:r w:rsidRPr="00811F16">
        <w:rPr>
          <w:rFonts w:ascii="Aptos" w:eastAsia="Times New Roman" w:hAnsi="Aptos" w:cs="Times New Roman"/>
          <w:color w:val="000000"/>
          <w:kern w:val="0"/>
          <w14:ligatures w14:val="none"/>
        </w:rPr>
        <w:t>demand, but</w:t>
      </w:r>
      <w:proofErr w:type="gramEnd"/>
      <w:r w:rsidRPr="00811F16">
        <w:rPr>
          <w:rFonts w:ascii="Aptos" w:eastAsia="Times New Roman" w:hAnsi="Aptos" w:cs="Times New Roman"/>
          <w:color w:val="000000"/>
          <w:kern w:val="0"/>
          <w14:ligatures w14:val="none"/>
        </w:rPr>
        <w:t xml:space="preserve"> is ineffective in confronting inflation caused by supply shortages. This is the reason why raising interest rates to curtail inflation can have dangerous implications. Thus, ICC believes the Fed will be slow to raise interest rates if necessary, creating a stable bond environment for the rest of the year.</w:t>
      </w:r>
    </w:p>
    <w:p w14:paraId="730662E9" w14:textId="77777777" w:rsidR="00811F16" w:rsidRPr="00811F16" w:rsidRDefault="00811F16" w:rsidP="00811F16">
      <w:pPr>
        <w:spacing w:after="240" w:line="240" w:lineRule="auto"/>
        <w:jc w:val="both"/>
        <w:rPr>
          <w:rFonts w:ascii="Aptos" w:eastAsia="Times New Roman" w:hAnsi="Aptos" w:cs="Times New Roman"/>
          <w:color w:val="000000"/>
          <w:kern w:val="0"/>
          <w14:ligatures w14:val="none"/>
        </w:rPr>
      </w:pPr>
      <w:r w:rsidRPr="00811F16">
        <w:rPr>
          <w:rFonts w:ascii="Aptos" w:eastAsia="Times New Roman" w:hAnsi="Aptos" w:cs="Times New Roman"/>
          <w:color w:val="000000"/>
          <w:kern w:val="0"/>
          <w14:ligatures w14:val="none"/>
        </w:rPr>
        <w:t>The ICC team continually searches for proactive opportunities that will benefit our valued clients, utilizing every industry resource available to provide a superior investor experience.  While many find the line blurred between speculation and investing, we recognize that measuring risk is fundamental to sustained success.  My team and I are grateful for the trust and confidence placed in our company and embrace this responsibility without reservation. Thank you.</w:t>
      </w:r>
    </w:p>
    <w:p w14:paraId="570D7B8E" w14:textId="77777777" w:rsidR="00811F16" w:rsidRPr="00811F16" w:rsidRDefault="00811F16" w:rsidP="00811F16">
      <w:pPr>
        <w:spacing w:after="240" w:line="240" w:lineRule="auto"/>
        <w:jc w:val="both"/>
        <w:rPr>
          <w:rFonts w:ascii="Aptos" w:eastAsia="Times New Roman" w:hAnsi="Aptos" w:cs="Times New Roman"/>
          <w:color w:val="000000"/>
          <w:kern w:val="0"/>
          <w14:ligatures w14:val="none"/>
        </w:rPr>
      </w:pPr>
      <w:r w:rsidRPr="00811F16">
        <w:rPr>
          <w:rFonts w:ascii="Aptos" w:eastAsia="Times New Roman" w:hAnsi="Aptos" w:cs="Times New Roman"/>
          <w:color w:val="000000"/>
          <w:kern w:val="0"/>
          <w14:ligatures w14:val="none"/>
        </w:rPr>
        <w:t>Respectfully,</w:t>
      </w:r>
    </w:p>
    <w:tbl>
      <w:tblPr>
        <w:tblW w:w="0" w:type="auto"/>
        <w:tblCellSpacing w:w="0" w:type="dxa"/>
        <w:tblCellMar>
          <w:left w:w="0" w:type="dxa"/>
          <w:right w:w="0" w:type="dxa"/>
        </w:tblCellMar>
        <w:tblLook w:val="04A0" w:firstRow="1" w:lastRow="0" w:firstColumn="1" w:lastColumn="0" w:noHBand="0" w:noVBand="1"/>
      </w:tblPr>
      <w:tblGrid>
        <w:gridCol w:w="2540"/>
      </w:tblGrid>
      <w:tr w:rsidR="00811F16" w:rsidRPr="00811F16" w14:paraId="1B54A5AF" w14:textId="77777777">
        <w:trPr>
          <w:tblCellSpacing w:w="0" w:type="dxa"/>
        </w:trPr>
        <w:tc>
          <w:tcPr>
            <w:tcW w:w="0" w:type="auto"/>
            <w:noWrap/>
            <w:vAlign w:val="center"/>
            <w:hideMark/>
          </w:tcPr>
          <w:p w14:paraId="3B49DA9E" w14:textId="77777777" w:rsidR="00811F16" w:rsidRPr="00811F16" w:rsidRDefault="00811F16" w:rsidP="00811F16">
            <w:pPr>
              <w:spacing w:after="0" w:line="240" w:lineRule="atLeast"/>
              <w:rPr>
                <w:rFonts w:ascii="Aptos" w:eastAsia="Times New Roman" w:hAnsi="Aptos" w:cs="Times New Roman"/>
                <w:kern w:val="0"/>
                <w14:ligatures w14:val="none"/>
              </w:rPr>
            </w:pPr>
            <w:r w:rsidRPr="00811F16">
              <w:rPr>
                <w:rFonts w:ascii="Arial" w:eastAsia="Times New Roman" w:hAnsi="Arial" w:cs="Arial"/>
                <w:b/>
                <w:bCs/>
                <w:color w:val="000000"/>
                <w:kern w:val="0"/>
                <w:sz w:val="20"/>
                <w:szCs w:val="20"/>
                <w14:ligatures w14:val="none"/>
              </w:rPr>
              <w:lastRenderedPageBreak/>
              <w:t>Randy A Garcia</w:t>
            </w:r>
            <w:r w:rsidRPr="00811F16">
              <w:rPr>
                <w:rFonts w:ascii="Arial" w:eastAsia="Times New Roman" w:hAnsi="Arial" w:cs="Arial"/>
                <w:color w:val="000000"/>
                <w:kern w:val="0"/>
                <w:sz w:val="18"/>
                <w:szCs w:val="18"/>
                <w14:ligatures w14:val="none"/>
              </w:rPr>
              <w:t>, CIMA, AIFA</w:t>
            </w:r>
            <w:r w:rsidRPr="00811F16">
              <w:rPr>
                <w:rFonts w:ascii="Arial" w:eastAsia="Times New Roman" w:hAnsi="Arial" w:cs="Arial"/>
                <w:color w:val="000000"/>
                <w:kern w:val="0"/>
                <w:sz w:val="18"/>
                <w:szCs w:val="18"/>
                <w14:ligatures w14:val="none"/>
              </w:rPr>
              <w:br/>
              <w:t>Chief Executive Officer</w:t>
            </w:r>
          </w:p>
        </w:tc>
      </w:tr>
    </w:tbl>
    <w:p w14:paraId="58024E57" w14:textId="77777777" w:rsidR="005E797D" w:rsidRDefault="005E797D"/>
    <w:sectPr w:rsidR="005E797D" w:rsidSect="005242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16"/>
    <w:rsid w:val="00185D91"/>
    <w:rsid w:val="00524226"/>
    <w:rsid w:val="005E797D"/>
    <w:rsid w:val="007C2970"/>
    <w:rsid w:val="007C41AA"/>
    <w:rsid w:val="00811F16"/>
    <w:rsid w:val="00832EA4"/>
    <w:rsid w:val="008A5D03"/>
    <w:rsid w:val="009F39AC"/>
    <w:rsid w:val="00B0740E"/>
    <w:rsid w:val="00DA7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4F6569"/>
  <w15:chartTrackingRefBased/>
  <w15:docId w15:val="{A40D6ECD-BEAE-7948-92BE-C3890C239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1F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1F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1F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1F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1F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1F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1F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1F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1F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1F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1F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1F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1F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1F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1F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1F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1F16"/>
    <w:rPr>
      <w:rFonts w:eastAsiaTheme="majorEastAsia" w:cstheme="majorBidi"/>
      <w:color w:val="272727" w:themeColor="text1" w:themeTint="D8"/>
    </w:rPr>
  </w:style>
  <w:style w:type="paragraph" w:styleId="Title">
    <w:name w:val="Title"/>
    <w:basedOn w:val="Normal"/>
    <w:next w:val="Normal"/>
    <w:link w:val="TitleChar"/>
    <w:uiPriority w:val="10"/>
    <w:qFormat/>
    <w:rsid w:val="00811F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F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1F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1F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1F16"/>
    <w:pPr>
      <w:spacing w:before="160"/>
      <w:jc w:val="center"/>
    </w:pPr>
    <w:rPr>
      <w:i/>
      <w:iCs/>
      <w:color w:val="404040" w:themeColor="text1" w:themeTint="BF"/>
    </w:rPr>
  </w:style>
  <w:style w:type="character" w:customStyle="1" w:styleId="QuoteChar">
    <w:name w:val="Quote Char"/>
    <w:basedOn w:val="DefaultParagraphFont"/>
    <w:link w:val="Quote"/>
    <w:uiPriority w:val="29"/>
    <w:rsid w:val="00811F16"/>
    <w:rPr>
      <w:i/>
      <w:iCs/>
      <w:color w:val="404040" w:themeColor="text1" w:themeTint="BF"/>
    </w:rPr>
  </w:style>
  <w:style w:type="paragraph" w:styleId="ListParagraph">
    <w:name w:val="List Paragraph"/>
    <w:basedOn w:val="Normal"/>
    <w:uiPriority w:val="34"/>
    <w:qFormat/>
    <w:rsid w:val="00811F16"/>
    <w:pPr>
      <w:ind w:left="720"/>
      <w:contextualSpacing/>
    </w:pPr>
  </w:style>
  <w:style w:type="character" w:styleId="IntenseEmphasis">
    <w:name w:val="Intense Emphasis"/>
    <w:basedOn w:val="DefaultParagraphFont"/>
    <w:uiPriority w:val="21"/>
    <w:qFormat/>
    <w:rsid w:val="00811F16"/>
    <w:rPr>
      <w:i/>
      <w:iCs/>
      <w:color w:val="2F5496" w:themeColor="accent1" w:themeShade="BF"/>
    </w:rPr>
  </w:style>
  <w:style w:type="paragraph" w:styleId="IntenseQuote">
    <w:name w:val="Intense Quote"/>
    <w:basedOn w:val="Normal"/>
    <w:next w:val="Normal"/>
    <w:link w:val="IntenseQuoteChar"/>
    <w:uiPriority w:val="30"/>
    <w:qFormat/>
    <w:rsid w:val="00811F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1F16"/>
    <w:rPr>
      <w:i/>
      <w:iCs/>
      <w:color w:val="2F5496" w:themeColor="accent1" w:themeShade="BF"/>
    </w:rPr>
  </w:style>
  <w:style w:type="character" w:styleId="IntenseReference">
    <w:name w:val="Intense Reference"/>
    <w:basedOn w:val="DefaultParagraphFont"/>
    <w:uiPriority w:val="32"/>
    <w:qFormat/>
    <w:rsid w:val="00811F16"/>
    <w:rPr>
      <w:b/>
      <w:bCs/>
      <w:smallCaps/>
      <w:color w:val="2F5496" w:themeColor="accent1" w:themeShade="BF"/>
      <w:spacing w:val="5"/>
    </w:rPr>
  </w:style>
  <w:style w:type="character" w:customStyle="1" w:styleId="apple-converted-space">
    <w:name w:val="apple-converted-space"/>
    <w:basedOn w:val="DefaultParagraphFont"/>
    <w:rsid w:val="00811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Moneypenny</dc:creator>
  <cp:keywords/>
  <dc:description/>
  <cp:lastModifiedBy>John Moneypenny</cp:lastModifiedBy>
  <cp:revision>1</cp:revision>
  <dcterms:created xsi:type="dcterms:W3CDTF">2026-07-15T17:56:00Z</dcterms:created>
  <dcterms:modified xsi:type="dcterms:W3CDTF">2026-07-15T18:07:00Z</dcterms:modified>
</cp:coreProperties>
</file>