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B04CF" w14:textId="6BDC1995" w:rsidR="00052651" w:rsidRPr="00092765" w:rsidRDefault="00D5184F" w:rsidP="00D7407F">
      <w:pPr>
        <w:pStyle w:val="NoSpacing"/>
        <w:jc w:val="center"/>
      </w:pPr>
      <w:r>
        <w:rPr>
          <w:noProof/>
        </w:rPr>
        <w:drawing>
          <wp:inline distT="0" distB="0" distL="0" distR="0" wp14:anchorId="75CE479C" wp14:editId="059E2DD4">
            <wp:extent cx="1190625" cy="714375"/>
            <wp:effectExtent l="0" t="0" r="9525" b="9525"/>
            <wp:docPr id="2" name="Picture 2" descr="A logo with a red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red and blue circ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inline>
        </w:drawing>
      </w:r>
    </w:p>
    <w:p w14:paraId="75BF705E" w14:textId="77777777" w:rsidR="00D5184F" w:rsidRDefault="00D5184F" w:rsidP="00D7407F">
      <w:pPr>
        <w:pStyle w:val="NoSpacing"/>
        <w:rPr>
          <w:rFonts w:ascii="Arial" w:hAnsi="Arial" w:cs="Arial"/>
          <w:b/>
          <w:bCs/>
        </w:rPr>
      </w:pPr>
    </w:p>
    <w:p w14:paraId="4FD2D7DC" w14:textId="77777777" w:rsidR="00D5184F" w:rsidRDefault="00D5184F" w:rsidP="00D7407F">
      <w:pPr>
        <w:pStyle w:val="NoSpacing"/>
        <w:jc w:val="center"/>
        <w:rPr>
          <w:rFonts w:ascii="Arial" w:hAnsi="Arial" w:cs="Arial"/>
          <w:b/>
          <w:bCs/>
        </w:rPr>
      </w:pPr>
    </w:p>
    <w:p w14:paraId="66930688" w14:textId="3154D639" w:rsidR="0000036D" w:rsidRDefault="00F24257" w:rsidP="00D7407F">
      <w:pPr>
        <w:pStyle w:val="NoSpacing"/>
        <w:jc w:val="center"/>
        <w:rPr>
          <w:rFonts w:ascii="Arial" w:hAnsi="Arial" w:cs="Arial"/>
          <w:b/>
          <w:bCs/>
        </w:rPr>
      </w:pPr>
      <w:r>
        <w:rPr>
          <w:rFonts w:ascii="Arial" w:hAnsi="Arial" w:cs="Arial"/>
          <w:b/>
          <w:bCs/>
        </w:rPr>
        <w:t xml:space="preserve">JULY </w:t>
      </w:r>
      <w:r w:rsidR="00AF1905" w:rsidRPr="00FF3731">
        <w:rPr>
          <w:rFonts w:ascii="Arial" w:hAnsi="Arial" w:cs="Arial"/>
          <w:b/>
          <w:bCs/>
        </w:rPr>
        <w:t>202</w:t>
      </w:r>
      <w:r w:rsidR="00AF1905">
        <w:rPr>
          <w:rFonts w:ascii="Arial" w:hAnsi="Arial" w:cs="Arial"/>
          <w:b/>
          <w:bCs/>
        </w:rPr>
        <w:t>4</w:t>
      </w:r>
    </w:p>
    <w:p w14:paraId="40330FFD" w14:textId="1EAB1A02" w:rsidR="00AF1905" w:rsidRPr="00FF3731" w:rsidRDefault="00AF1905" w:rsidP="00D7407F">
      <w:pPr>
        <w:pStyle w:val="NoSpacing"/>
        <w:jc w:val="center"/>
        <w:rPr>
          <w:rFonts w:ascii="Arial" w:hAnsi="Arial" w:cs="Arial"/>
          <w:b/>
          <w:bCs/>
        </w:rPr>
      </w:pPr>
    </w:p>
    <w:p w14:paraId="01F9321C" w14:textId="77777777" w:rsidR="00AF1905" w:rsidRPr="00AD2F13" w:rsidRDefault="00AF1905" w:rsidP="00D7407F">
      <w:pPr>
        <w:pStyle w:val="NoSpacing"/>
        <w:jc w:val="center"/>
        <w:rPr>
          <w:rFonts w:ascii="Arial" w:hAnsi="Arial" w:cs="Arial"/>
        </w:rPr>
      </w:pPr>
      <w:r w:rsidRPr="00AD2F13">
        <w:rPr>
          <w:rFonts w:ascii="Arial" w:hAnsi="Arial" w:cs="Arial"/>
          <w:b/>
          <w:bCs/>
        </w:rPr>
        <w:t>QUARTERLY COMMENTARY</w:t>
      </w:r>
    </w:p>
    <w:p w14:paraId="105E8AE0" w14:textId="77777777" w:rsidR="00052651" w:rsidRPr="00D7407F" w:rsidRDefault="00052651" w:rsidP="00D7407F">
      <w:pPr>
        <w:pStyle w:val="NoSpacing"/>
        <w:rPr>
          <w:rFonts w:ascii="Calibri" w:hAnsi="Calibri" w:cs="Calibri"/>
        </w:rPr>
      </w:pPr>
    </w:p>
    <w:p w14:paraId="75222B83" w14:textId="77777777" w:rsidR="00052651" w:rsidRPr="00D7407F" w:rsidRDefault="00052651" w:rsidP="00D7407F">
      <w:pPr>
        <w:pStyle w:val="NoSpacing"/>
        <w:rPr>
          <w:rFonts w:ascii="Calibri" w:hAnsi="Calibri" w:cs="Calibri"/>
        </w:rPr>
      </w:pPr>
    </w:p>
    <w:p w14:paraId="1D1D4992" w14:textId="1602667B" w:rsidR="00A33536" w:rsidRPr="00D7407F" w:rsidRDefault="00DB3A2A" w:rsidP="00D7407F">
      <w:pPr>
        <w:pStyle w:val="NoSpacing"/>
        <w:rPr>
          <w:rFonts w:ascii="Calibri" w:hAnsi="Calibri" w:cs="Calibri"/>
        </w:rPr>
      </w:pPr>
      <w:r w:rsidRPr="00D7407F">
        <w:rPr>
          <w:rFonts w:ascii="Calibri" w:hAnsi="Calibri" w:cs="Calibri"/>
        </w:rPr>
        <w:t>Investors</w:t>
      </w:r>
      <w:r w:rsidR="00FF2D12" w:rsidRPr="00D7407F">
        <w:rPr>
          <w:rFonts w:ascii="Calibri" w:hAnsi="Calibri" w:cs="Calibri"/>
        </w:rPr>
        <w:t xml:space="preserve"> </w:t>
      </w:r>
      <w:r w:rsidRPr="00D7407F">
        <w:rPr>
          <w:rFonts w:ascii="Calibri" w:hAnsi="Calibri" w:cs="Calibri"/>
        </w:rPr>
        <w:t>want to know</w:t>
      </w:r>
      <w:r w:rsidR="00FF2D12" w:rsidRPr="00D7407F">
        <w:rPr>
          <w:rFonts w:ascii="Calibri" w:hAnsi="Calibri" w:cs="Calibri"/>
        </w:rPr>
        <w:t xml:space="preserve"> </w:t>
      </w:r>
      <w:r w:rsidRPr="00D7407F">
        <w:rPr>
          <w:rFonts w:ascii="Calibri" w:hAnsi="Calibri" w:cs="Calibri"/>
        </w:rPr>
        <w:t xml:space="preserve">how </w:t>
      </w:r>
      <w:r w:rsidR="009926E1" w:rsidRPr="00D7407F">
        <w:rPr>
          <w:rFonts w:ascii="Calibri" w:hAnsi="Calibri" w:cs="Calibri"/>
        </w:rPr>
        <w:t xml:space="preserve">this November’s </w:t>
      </w:r>
      <w:r w:rsidRPr="00D7407F">
        <w:rPr>
          <w:rFonts w:ascii="Calibri" w:hAnsi="Calibri" w:cs="Calibri"/>
        </w:rPr>
        <w:t xml:space="preserve">election results </w:t>
      </w:r>
      <w:r w:rsidR="009C14C9" w:rsidRPr="00D7407F">
        <w:rPr>
          <w:rFonts w:ascii="Calibri" w:hAnsi="Calibri" w:cs="Calibri"/>
        </w:rPr>
        <w:t>can</w:t>
      </w:r>
      <w:r w:rsidR="00FF2D12" w:rsidRPr="00D7407F">
        <w:rPr>
          <w:rFonts w:ascii="Calibri" w:hAnsi="Calibri" w:cs="Calibri"/>
        </w:rPr>
        <w:t xml:space="preserve"> impact their investments. </w:t>
      </w:r>
      <w:r w:rsidR="00093992" w:rsidRPr="00D7407F">
        <w:rPr>
          <w:rFonts w:ascii="Calibri" w:hAnsi="Calibri" w:cs="Calibri"/>
        </w:rPr>
        <w:t xml:space="preserve">In addition </w:t>
      </w:r>
      <w:r w:rsidR="004A518B" w:rsidRPr="00D7407F">
        <w:rPr>
          <w:rFonts w:ascii="Calibri" w:hAnsi="Calibri" w:cs="Calibri"/>
        </w:rPr>
        <w:t xml:space="preserve">to altering the course of the economy, </w:t>
      </w:r>
      <w:r w:rsidR="00EE63BC" w:rsidRPr="00D7407F">
        <w:rPr>
          <w:rFonts w:ascii="Calibri" w:hAnsi="Calibri" w:cs="Calibri"/>
        </w:rPr>
        <w:t>political outcomes can influence financial asset class performance for stocks, bonds, real estate, commodities, and even traditional and virtual currencies.</w:t>
      </w:r>
      <w:r w:rsidR="00B33AAB" w:rsidRPr="00D7407F">
        <w:rPr>
          <w:rFonts w:ascii="Calibri" w:hAnsi="Calibri" w:cs="Calibri"/>
        </w:rPr>
        <w:t xml:space="preserve"> Make no mistake, sectors such as </w:t>
      </w:r>
      <w:r w:rsidR="00BF6CF1" w:rsidRPr="00D7407F">
        <w:rPr>
          <w:rFonts w:ascii="Calibri" w:hAnsi="Calibri" w:cs="Calibri"/>
        </w:rPr>
        <w:t>h</w:t>
      </w:r>
      <w:r w:rsidR="00B33AAB" w:rsidRPr="00D7407F">
        <w:rPr>
          <w:rFonts w:ascii="Calibri" w:hAnsi="Calibri" w:cs="Calibri"/>
        </w:rPr>
        <w:t xml:space="preserve">ealth </w:t>
      </w:r>
      <w:r w:rsidR="00BF6CF1" w:rsidRPr="00D7407F">
        <w:rPr>
          <w:rFonts w:ascii="Calibri" w:hAnsi="Calibri" w:cs="Calibri"/>
        </w:rPr>
        <w:t>c</w:t>
      </w:r>
      <w:r w:rsidR="00B33AAB" w:rsidRPr="00D7407F">
        <w:rPr>
          <w:rFonts w:ascii="Calibri" w:hAnsi="Calibri" w:cs="Calibri"/>
        </w:rPr>
        <w:t>are (</w:t>
      </w:r>
      <w:r w:rsidR="00B920D5" w:rsidRPr="00D7407F">
        <w:rPr>
          <w:rFonts w:ascii="Calibri" w:hAnsi="Calibri" w:cs="Calibri"/>
        </w:rPr>
        <w:t xml:space="preserve">under </w:t>
      </w:r>
      <w:r w:rsidR="00B33AAB" w:rsidRPr="00D7407F">
        <w:rPr>
          <w:rFonts w:ascii="Calibri" w:hAnsi="Calibri" w:cs="Calibri"/>
        </w:rPr>
        <w:t xml:space="preserve">Obama), </w:t>
      </w:r>
      <w:r w:rsidR="00BF6CF1" w:rsidRPr="00D7407F">
        <w:rPr>
          <w:rFonts w:ascii="Calibri" w:hAnsi="Calibri" w:cs="Calibri"/>
        </w:rPr>
        <w:t>e</w:t>
      </w:r>
      <w:r w:rsidR="00B33AAB" w:rsidRPr="00D7407F">
        <w:rPr>
          <w:rFonts w:ascii="Calibri" w:hAnsi="Calibri" w:cs="Calibri"/>
        </w:rPr>
        <w:t>nergy (</w:t>
      </w:r>
      <w:r w:rsidR="00B920D5" w:rsidRPr="00D7407F">
        <w:rPr>
          <w:rFonts w:ascii="Calibri" w:hAnsi="Calibri" w:cs="Calibri"/>
        </w:rPr>
        <w:t xml:space="preserve">under </w:t>
      </w:r>
      <w:r w:rsidR="00B33AAB" w:rsidRPr="00D7407F">
        <w:rPr>
          <w:rFonts w:ascii="Calibri" w:hAnsi="Calibri" w:cs="Calibri"/>
        </w:rPr>
        <w:t xml:space="preserve">Trump), and </w:t>
      </w:r>
      <w:r w:rsidR="00BF6CF1" w:rsidRPr="00D7407F">
        <w:rPr>
          <w:rFonts w:ascii="Calibri" w:hAnsi="Calibri" w:cs="Calibri"/>
        </w:rPr>
        <w:t>t</w:t>
      </w:r>
      <w:r w:rsidR="00B33AAB" w:rsidRPr="00D7407F">
        <w:rPr>
          <w:rFonts w:ascii="Calibri" w:hAnsi="Calibri" w:cs="Calibri"/>
        </w:rPr>
        <w:t>ransportation (</w:t>
      </w:r>
      <w:r w:rsidR="00B920D5" w:rsidRPr="00D7407F">
        <w:rPr>
          <w:rFonts w:ascii="Calibri" w:hAnsi="Calibri" w:cs="Calibri"/>
        </w:rPr>
        <w:t xml:space="preserve">under </w:t>
      </w:r>
      <w:r w:rsidR="00B33AAB" w:rsidRPr="00D7407F">
        <w:rPr>
          <w:rFonts w:ascii="Calibri" w:hAnsi="Calibri" w:cs="Calibri"/>
        </w:rPr>
        <w:t xml:space="preserve">Biden) have experienced transformative </w:t>
      </w:r>
      <w:r w:rsidR="009C14C9" w:rsidRPr="00D7407F">
        <w:rPr>
          <w:rFonts w:ascii="Calibri" w:hAnsi="Calibri" w:cs="Calibri"/>
        </w:rPr>
        <w:t>shifts</w:t>
      </w:r>
      <w:r w:rsidR="00B33AAB" w:rsidRPr="00D7407F">
        <w:rPr>
          <w:rFonts w:ascii="Calibri" w:hAnsi="Calibri" w:cs="Calibri"/>
        </w:rPr>
        <w:t xml:space="preserve"> </w:t>
      </w:r>
      <w:r w:rsidR="002F2862" w:rsidRPr="00D7407F">
        <w:rPr>
          <w:rFonts w:ascii="Calibri" w:hAnsi="Calibri" w:cs="Calibri"/>
        </w:rPr>
        <w:t>because of</w:t>
      </w:r>
      <w:r w:rsidR="00B33AAB" w:rsidRPr="00D7407F">
        <w:rPr>
          <w:rFonts w:ascii="Calibri" w:hAnsi="Calibri" w:cs="Calibri"/>
        </w:rPr>
        <w:t xml:space="preserve"> changes in political power. </w:t>
      </w:r>
      <w:r w:rsidR="002E1241" w:rsidRPr="00D7407F">
        <w:rPr>
          <w:rFonts w:ascii="Calibri" w:hAnsi="Calibri" w:cs="Calibri"/>
        </w:rPr>
        <w:t>T</w:t>
      </w:r>
      <w:r w:rsidR="00EE63BC" w:rsidRPr="00D7407F">
        <w:rPr>
          <w:rFonts w:ascii="Calibri" w:hAnsi="Calibri" w:cs="Calibri"/>
        </w:rPr>
        <w:t xml:space="preserve">he automotive industry </w:t>
      </w:r>
      <w:r w:rsidR="00E6702A" w:rsidRPr="00D7407F">
        <w:rPr>
          <w:rFonts w:ascii="Calibri" w:hAnsi="Calibri" w:cs="Calibri"/>
        </w:rPr>
        <w:t xml:space="preserve">recently </w:t>
      </w:r>
      <w:r w:rsidR="009C14C9" w:rsidRPr="00D7407F">
        <w:rPr>
          <w:rFonts w:ascii="Calibri" w:hAnsi="Calibri" w:cs="Calibri"/>
        </w:rPr>
        <w:t xml:space="preserve">experienced a rebirth </w:t>
      </w:r>
      <w:r w:rsidR="002F2862" w:rsidRPr="00D7407F">
        <w:rPr>
          <w:rFonts w:ascii="Calibri" w:hAnsi="Calibri" w:cs="Calibri"/>
        </w:rPr>
        <w:t>as a result of</w:t>
      </w:r>
      <w:r w:rsidR="009C14C9" w:rsidRPr="00D7407F">
        <w:rPr>
          <w:rFonts w:ascii="Calibri" w:hAnsi="Calibri" w:cs="Calibri"/>
        </w:rPr>
        <w:t xml:space="preserve"> </w:t>
      </w:r>
      <w:r w:rsidR="00E6702A" w:rsidRPr="00D7407F">
        <w:rPr>
          <w:rFonts w:ascii="Calibri" w:hAnsi="Calibri" w:cs="Calibri"/>
        </w:rPr>
        <w:t xml:space="preserve">President Biden’s tax and other </w:t>
      </w:r>
      <w:r w:rsidR="009C14C9" w:rsidRPr="00D7407F">
        <w:rPr>
          <w:rFonts w:ascii="Calibri" w:hAnsi="Calibri" w:cs="Calibri"/>
        </w:rPr>
        <w:t>fina</w:t>
      </w:r>
      <w:r w:rsidR="00EE63BC" w:rsidRPr="00D7407F">
        <w:rPr>
          <w:rFonts w:ascii="Calibri" w:hAnsi="Calibri" w:cs="Calibri"/>
        </w:rPr>
        <w:t xml:space="preserve">ncial incentives for electric </w:t>
      </w:r>
      <w:r w:rsidR="00A66F85" w:rsidRPr="00D7407F">
        <w:rPr>
          <w:rFonts w:ascii="Calibri" w:hAnsi="Calibri" w:cs="Calibri"/>
        </w:rPr>
        <w:t>vehicle</w:t>
      </w:r>
      <w:r w:rsidR="00BF6CF1" w:rsidRPr="00D7407F">
        <w:rPr>
          <w:rFonts w:ascii="Calibri" w:hAnsi="Calibri" w:cs="Calibri"/>
        </w:rPr>
        <w:t xml:space="preserve"> (EV)</w:t>
      </w:r>
      <w:r w:rsidR="00A66F85" w:rsidRPr="00D7407F">
        <w:rPr>
          <w:rFonts w:ascii="Calibri" w:hAnsi="Calibri" w:cs="Calibri"/>
        </w:rPr>
        <w:t xml:space="preserve"> </w:t>
      </w:r>
      <w:r w:rsidR="00EE63BC" w:rsidRPr="00D7407F">
        <w:rPr>
          <w:rFonts w:ascii="Calibri" w:hAnsi="Calibri" w:cs="Calibri"/>
        </w:rPr>
        <w:t>purchases.</w:t>
      </w:r>
      <w:r w:rsidR="00D34603" w:rsidRPr="00D7407F">
        <w:rPr>
          <w:rFonts w:ascii="Calibri" w:hAnsi="Calibri" w:cs="Calibri"/>
        </w:rPr>
        <w:t xml:space="preserve"> </w:t>
      </w:r>
      <w:r w:rsidR="003F753C" w:rsidRPr="00D7407F">
        <w:rPr>
          <w:rFonts w:ascii="Calibri" w:hAnsi="Calibri" w:cs="Calibri"/>
        </w:rPr>
        <w:t>EV manufacture</w:t>
      </w:r>
      <w:r w:rsidR="00BF6CF1" w:rsidRPr="00D7407F">
        <w:rPr>
          <w:rFonts w:ascii="Calibri" w:hAnsi="Calibri" w:cs="Calibri"/>
        </w:rPr>
        <w:t>r</w:t>
      </w:r>
      <w:r w:rsidR="003F753C" w:rsidRPr="00D7407F">
        <w:rPr>
          <w:rFonts w:ascii="Calibri" w:hAnsi="Calibri" w:cs="Calibri"/>
        </w:rPr>
        <w:t>s,</w:t>
      </w:r>
      <w:r w:rsidR="00D34603" w:rsidRPr="00D7407F">
        <w:rPr>
          <w:rFonts w:ascii="Calibri" w:hAnsi="Calibri" w:cs="Calibri"/>
        </w:rPr>
        <w:t xml:space="preserve"> Tesla, Rivian,</w:t>
      </w:r>
      <w:r w:rsidR="003F753C" w:rsidRPr="00D7407F">
        <w:rPr>
          <w:rFonts w:ascii="Calibri" w:hAnsi="Calibri" w:cs="Calibri"/>
        </w:rPr>
        <w:t xml:space="preserve"> Lucid Motors, Polestar, and </w:t>
      </w:r>
      <w:r w:rsidR="00B61764" w:rsidRPr="00D7407F">
        <w:rPr>
          <w:rFonts w:ascii="Calibri" w:hAnsi="Calibri" w:cs="Calibri"/>
        </w:rPr>
        <w:t xml:space="preserve">others </w:t>
      </w:r>
      <w:r w:rsidR="003F753C" w:rsidRPr="00D7407F">
        <w:rPr>
          <w:rFonts w:ascii="Calibri" w:hAnsi="Calibri" w:cs="Calibri"/>
        </w:rPr>
        <w:t xml:space="preserve">have contributed to the growth in the U.S. workforce. </w:t>
      </w:r>
      <w:r w:rsidR="00B33AAB" w:rsidRPr="00D7407F">
        <w:rPr>
          <w:rFonts w:ascii="Calibri" w:hAnsi="Calibri" w:cs="Calibri"/>
        </w:rPr>
        <w:t>Before then,</w:t>
      </w:r>
      <w:r w:rsidR="003F753C" w:rsidRPr="00D7407F">
        <w:rPr>
          <w:rFonts w:ascii="Calibri" w:hAnsi="Calibri" w:cs="Calibri"/>
        </w:rPr>
        <w:t xml:space="preserve"> </w:t>
      </w:r>
      <w:r w:rsidR="00EE63BC" w:rsidRPr="00D7407F">
        <w:rPr>
          <w:rFonts w:ascii="Calibri" w:hAnsi="Calibri" w:cs="Calibri"/>
        </w:rPr>
        <w:t>Facebook</w:t>
      </w:r>
      <w:r w:rsidR="003F753C" w:rsidRPr="00D7407F">
        <w:rPr>
          <w:rFonts w:ascii="Calibri" w:hAnsi="Calibri" w:cs="Calibri"/>
        </w:rPr>
        <w:t xml:space="preserve"> </w:t>
      </w:r>
      <w:r w:rsidR="00D34603" w:rsidRPr="00D7407F">
        <w:rPr>
          <w:rFonts w:ascii="Calibri" w:hAnsi="Calibri" w:cs="Calibri"/>
        </w:rPr>
        <w:t>(now Meta</w:t>
      </w:r>
      <w:r w:rsidR="00EE63BC" w:rsidRPr="00D7407F">
        <w:rPr>
          <w:rFonts w:ascii="Calibri" w:hAnsi="Calibri" w:cs="Calibri"/>
        </w:rPr>
        <w:t>)</w:t>
      </w:r>
      <w:r w:rsidR="00A66F85" w:rsidRPr="00D7407F">
        <w:rPr>
          <w:rFonts w:ascii="Calibri" w:hAnsi="Calibri" w:cs="Calibri"/>
        </w:rPr>
        <w:t xml:space="preserve"> w</w:t>
      </w:r>
      <w:r w:rsidR="005A7E6B" w:rsidRPr="00D7407F">
        <w:rPr>
          <w:rFonts w:ascii="Calibri" w:hAnsi="Calibri" w:cs="Calibri"/>
        </w:rPr>
        <w:t>as</w:t>
      </w:r>
      <w:r w:rsidR="00A66F85" w:rsidRPr="00D7407F">
        <w:rPr>
          <w:rFonts w:ascii="Calibri" w:hAnsi="Calibri" w:cs="Calibri"/>
        </w:rPr>
        <w:t xml:space="preserve"> </w:t>
      </w:r>
      <w:r w:rsidR="005A7E6B" w:rsidRPr="00D7407F">
        <w:rPr>
          <w:rFonts w:ascii="Calibri" w:hAnsi="Calibri" w:cs="Calibri"/>
        </w:rPr>
        <w:t>attacked</w:t>
      </w:r>
      <w:r w:rsidR="00A66F85" w:rsidRPr="00D7407F">
        <w:rPr>
          <w:rFonts w:ascii="Calibri" w:hAnsi="Calibri" w:cs="Calibri"/>
        </w:rPr>
        <w:t xml:space="preserve"> by former President Trump</w:t>
      </w:r>
      <w:r w:rsidR="005A7E6B" w:rsidRPr="00D7407F">
        <w:rPr>
          <w:rFonts w:ascii="Calibri" w:hAnsi="Calibri" w:cs="Calibri"/>
        </w:rPr>
        <w:t xml:space="preserve"> for imposing a two-year </w:t>
      </w:r>
      <w:r w:rsidR="00D34603" w:rsidRPr="00D7407F">
        <w:rPr>
          <w:rFonts w:ascii="Calibri" w:hAnsi="Calibri" w:cs="Calibri"/>
        </w:rPr>
        <w:t xml:space="preserve">communication </w:t>
      </w:r>
      <w:r w:rsidR="005A7E6B" w:rsidRPr="00D7407F">
        <w:rPr>
          <w:rFonts w:ascii="Calibri" w:hAnsi="Calibri" w:cs="Calibri"/>
        </w:rPr>
        <w:t xml:space="preserve">ban in the aftermath of the January 6, </w:t>
      </w:r>
      <w:r w:rsidR="002F2862" w:rsidRPr="00D7407F">
        <w:rPr>
          <w:rFonts w:ascii="Calibri" w:hAnsi="Calibri" w:cs="Calibri"/>
        </w:rPr>
        <w:t>2021,</w:t>
      </w:r>
      <w:r w:rsidR="005A7E6B" w:rsidRPr="00D7407F">
        <w:rPr>
          <w:rFonts w:ascii="Calibri" w:hAnsi="Calibri" w:cs="Calibri"/>
        </w:rPr>
        <w:t xml:space="preserve"> Capit</w:t>
      </w:r>
      <w:r w:rsidR="00BF6CF1" w:rsidRPr="00D7407F">
        <w:rPr>
          <w:rFonts w:ascii="Calibri" w:hAnsi="Calibri" w:cs="Calibri"/>
        </w:rPr>
        <w:t>o</w:t>
      </w:r>
      <w:r w:rsidR="005A7E6B" w:rsidRPr="00D7407F">
        <w:rPr>
          <w:rFonts w:ascii="Calibri" w:hAnsi="Calibri" w:cs="Calibri"/>
        </w:rPr>
        <w:t xml:space="preserve">l </w:t>
      </w:r>
      <w:r w:rsidR="009C14C9" w:rsidRPr="00D7407F">
        <w:rPr>
          <w:rFonts w:ascii="Calibri" w:hAnsi="Calibri" w:cs="Calibri"/>
        </w:rPr>
        <w:t>R</w:t>
      </w:r>
      <w:r w:rsidR="005A7E6B" w:rsidRPr="00D7407F">
        <w:rPr>
          <w:rFonts w:ascii="Calibri" w:hAnsi="Calibri" w:cs="Calibri"/>
        </w:rPr>
        <w:t xml:space="preserve">iot. Trump </w:t>
      </w:r>
      <w:r w:rsidR="00BF6CF1" w:rsidRPr="00D7407F">
        <w:rPr>
          <w:rFonts w:ascii="Calibri" w:hAnsi="Calibri" w:cs="Calibri"/>
        </w:rPr>
        <w:t>remarked</w:t>
      </w:r>
      <w:r w:rsidR="00D34603" w:rsidRPr="00D7407F">
        <w:rPr>
          <w:rFonts w:ascii="Calibri" w:hAnsi="Calibri" w:cs="Calibri"/>
        </w:rPr>
        <w:t xml:space="preserve">, “I </w:t>
      </w:r>
      <w:r w:rsidR="005A7E6B" w:rsidRPr="00D7407F">
        <w:rPr>
          <w:rFonts w:ascii="Calibri" w:hAnsi="Calibri" w:cs="Calibri"/>
        </w:rPr>
        <w:t xml:space="preserve">consider Facebook to be an </w:t>
      </w:r>
      <w:r w:rsidR="00D34603" w:rsidRPr="00D7407F">
        <w:rPr>
          <w:rFonts w:ascii="Calibri" w:hAnsi="Calibri" w:cs="Calibri"/>
        </w:rPr>
        <w:t>enemy of the people</w:t>
      </w:r>
      <w:r w:rsidR="00BF6CF1" w:rsidRPr="00D7407F">
        <w:rPr>
          <w:rFonts w:ascii="Calibri" w:hAnsi="Calibri" w:cs="Calibri"/>
        </w:rPr>
        <w:t>,</w:t>
      </w:r>
      <w:r w:rsidR="00D34603" w:rsidRPr="00D7407F">
        <w:rPr>
          <w:rFonts w:ascii="Calibri" w:hAnsi="Calibri" w:cs="Calibri"/>
        </w:rPr>
        <w:t>”</w:t>
      </w:r>
      <w:r w:rsidR="00BF6CF1" w:rsidRPr="00D7407F">
        <w:rPr>
          <w:rFonts w:ascii="Calibri" w:hAnsi="Calibri" w:cs="Calibri"/>
        </w:rPr>
        <w:t xml:space="preserve"> prompting immediate i</w:t>
      </w:r>
      <w:r w:rsidR="00D34603" w:rsidRPr="00D7407F">
        <w:rPr>
          <w:rFonts w:ascii="Calibri" w:hAnsi="Calibri" w:cs="Calibri"/>
        </w:rPr>
        <w:t>nvestor reaction</w:t>
      </w:r>
      <w:r w:rsidR="00BF6CF1" w:rsidRPr="00D7407F">
        <w:rPr>
          <w:rFonts w:ascii="Calibri" w:hAnsi="Calibri" w:cs="Calibri"/>
        </w:rPr>
        <w:t xml:space="preserve">s. </w:t>
      </w:r>
      <w:r w:rsidR="00D34603" w:rsidRPr="00D7407F">
        <w:rPr>
          <w:rFonts w:ascii="Calibri" w:hAnsi="Calibri" w:cs="Calibri"/>
        </w:rPr>
        <w:t xml:space="preserve">The stock dropped by </w:t>
      </w:r>
      <w:r w:rsidR="003F753C" w:rsidRPr="00D7407F">
        <w:rPr>
          <w:rFonts w:ascii="Calibri" w:hAnsi="Calibri" w:cs="Calibri"/>
        </w:rPr>
        <w:t xml:space="preserve">over </w:t>
      </w:r>
      <w:r w:rsidR="00D34603" w:rsidRPr="00D7407F">
        <w:rPr>
          <w:rFonts w:ascii="Calibri" w:hAnsi="Calibri" w:cs="Calibri"/>
        </w:rPr>
        <w:t>$60 billion due to the</w:t>
      </w:r>
      <w:r w:rsidR="009C14C9" w:rsidRPr="00D7407F">
        <w:rPr>
          <w:rFonts w:ascii="Calibri" w:hAnsi="Calibri" w:cs="Calibri"/>
        </w:rPr>
        <w:t xml:space="preserve"> President’s aggression.</w:t>
      </w:r>
      <w:r w:rsidR="003D5982" w:rsidRPr="00D7407F">
        <w:rPr>
          <w:rFonts w:ascii="Calibri" w:hAnsi="Calibri" w:cs="Calibri"/>
        </w:rPr>
        <w:t xml:space="preserve"> At that time</w:t>
      </w:r>
      <w:r w:rsidR="00D34603" w:rsidRPr="00D7407F">
        <w:rPr>
          <w:rFonts w:ascii="Calibri" w:hAnsi="Calibri" w:cs="Calibri"/>
        </w:rPr>
        <w:t xml:space="preserve">, investors felt that </w:t>
      </w:r>
      <w:r w:rsidR="003D5982" w:rsidRPr="00D7407F">
        <w:rPr>
          <w:rFonts w:ascii="Calibri" w:hAnsi="Calibri" w:cs="Calibri"/>
        </w:rPr>
        <w:t xml:space="preserve">a </w:t>
      </w:r>
      <w:r w:rsidR="00D34603" w:rsidRPr="00D7407F">
        <w:rPr>
          <w:rFonts w:ascii="Calibri" w:hAnsi="Calibri" w:cs="Calibri"/>
        </w:rPr>
        <w:t>Trump</w:t>
      </w:r>
      <w:r w:rsidR="003D5982" w:rsidRPr="00D7407F">
        <w:rPr>
          <w:rFonts w:ascii="Calibri" w:hAnsi="Calibri" w:cs="Calibri"/>
        </w:rPr>
        <w:t xml:space="preserve"> victory</w:t>
      </w:r>
      <w:r w:rsidR="00D34603" w:rsidRPr="00D7407F">
        <w:rPr>
          <w:rFonts w:ascii="Calibri" w:hAnsi="Calibri" w:cs="Calibri"/>
        </w:rPr>
        <w:t xml:space="preserve"> </w:t>
      </w:r>
      <w:r w:rsidR="003D5982" w:rsidRPr="00D7407F">
        <w:rPr>
          <w:rFonts w:ascii="Calibri" w:hAnsi="Calibri" w:cs="Calibri"/>
        </w:rPr>
        <w:t>would</w:t>
      </w:r>
      <w:r w:rsidR="00D34603" w:rsidRPr="00D7407F">
        <w:rPr>
          <w:rFonts w:ascii="Calibri" w:hAnsi="Calibri" w:cs="Calibri"/>
        </w:rPr>
        <w:t xml:space="preserve"> make it harder for Facebook to </w:t>
      </w:r>
      <w:r w:rsidR="00B61764" w:rsidRPr="00D7407F">
        <w:rPr>
          <w:rFonts w:ascii="Calibri" w:hAnsi="Calibri" w:cs="Calibri"/>
        </w:rPr>
        <w:t>consummate</w:t>
      </w:r>
      <w:r w:rsidR="00D34603" w:rsidRPr="00D7407F">
        <w:rPr>
          <w:rFonts w:ascii="Calibri" w:hAnsi="Calibri" w:cs="Calibri"/>
        </w:rPr>
        <w:t xml:space="preserve"> further acquisitions </w:t>
      </w:r>
      <w:r w:rsidR="00B61764" w:rsidRPr="00D7407F">
        <w:rPr>
          <w:rFonts w:ascii="Calibri" w:hAnsi="Calibri" w:cs="Calibri"/>
        </w:rPr>
        <w:t xml:space="preserve">necessary for </w:t>
      </w:r>
      <w:r w:rsidR="003D5982" w:rsidRPr="00D7407F">
        <w:rPr>
          <w:rFonts w:ascii="Calibri" w:hAnsi="Calibri" w:cs="Calibri"/>
        </w:rPr>
        <w:t>future</w:t>
      </w:r>
      <w:r w:rsidR="00B61764" w:rsidRPr="00D7407F">
        <w:rPr>
          <w:rFonts w:ascii="Calibri" w:hAnsi="Calibri" w:cs="Calibri"/>
        </w:rPr>
        <w:t xml:space="preserve"> </w:t>
      </w:r>
      <w:r w:rsidR="00D34603" w:rsidRPr="00D7407F">
        <w:rPr>
          <w:rFonts w:ascii="Calibri" w:hAnsi="Calibri" w:cs="Calibri"/>
        </w:rPr>
        <w:t>growth.</w:t>
      </w:r>
      <w:r w:rsidR="00A33536" w:rsidRPr="00D7407F">
        <w:rPr>
          <w:rFonts w:ascii="Calibri" w:hAnsi="Calibri" w:cs="Calibri"/>
        </w:rPr>
        <w:t xml:space="preserve"> Similarly, r</w:t>
      </w:r>
      <w:r w:rsidR="00FF2D12" w:rsidRPr="00D7407F">
        <w:rPr>
          <w:rFonts w:ascii="Calibri" w:hAnsi="Calibri" w:cs="Calibri"/>
        </w:rPr>
        <w:t xml:space="preserve">ecent elections in India, Mexico, and France </w:t>
      </w:r>
      <w:r w:rsidR="00A33536" w:rsidRPr="00D7407F">
        <w:rPr>
          <w:rFonts w:ascii="Calibri" w:hAnsi="Calibri" w:cs="Calibri"/>
        </w:rPr>
        <w:t xml:space="preserve">also </w:t>
      </w:r>
      <w:r w:rsidR="00093992" w:rsidRPr="00D7407F">
        <w:rPr>
          <w:rFonts w:ascii="Calibri" w:hAnsi="Calibri" w:cs="Calibri"/>
        </w:rPr>
        <w:t>illustrate</w:t>
      </w:r>
      <w:r w:rsidR="00AB0E8E" w:rsidRPr="00D7407F">
        <w:rPr>
          <w:rFonts w:ascii="Calibri" w:hAnsi="Calibri" w:cs="Calibri"/>
        </w:rPr>
        <w:t xml:space="preserve"> how </w:t>
      </w:r>
      <w:r w:rsidR="00A33536" w:rsidRPr="00D7407F">
        <w:rPr>
          <w:rFonts w:ascii="Calibri" w:hAnsi="Calibri" w:cs="Calibri"/>
        </w:rPr>
        <w:t xml:space="preserve">election results influence </w:t>
      </w:r>
      <w:r w:rsidR="00AB0E8E" w:rsidRPr="00D7407F">
        <w:rPr>
          <w:rFonts w:ascii="Calibri" w:hAnsi="Calibri" w:cs="Calibri"/>
        </w:rPr>
        <w:t>financial market</w:t>
      </w:r>
      <w:r w:rsidR="00A33536" w:rsidRPr="00D7407F">
        <w:rPr>
          <w:rFonts w:ascii="Calibri" w:hAnsi="Calibri" w:cs="Calibri"/>
        </w:rPr>
        <w:t xml:space="preserve"> volatility, especially in the </w:t>
      </w:r>
      <w:r w:rsidR="002F2862" w:rsidRPr="00D7407F">
        <w:rPr>
          <w:rFonts w:ascii="Calibri" w:hAnsi="Calibri" w:cs="Calibri"/>
        </w:rPr>
        <w:t>short</w:t>
      </w:r>
      <w:r w:rsidR="00B64C24" w:rsidRPr="00D7407F">
        <w:rPr>
          <w:rFonts w:ascii="Calibri" w:hAnsi="Calibri" w:cs="Calibri"/>
        </w:rPr>
        <w:t>-</w:t>
      </w:r>
      <w:r w:rsidR="002F2862" w:rsidRPr="00D7407F">
        <w:rPr>
          <w:rFonts w:ascii="Calibri" w:hAnsi="Calibri" w:cs="Calibri"/>
        </w:rPr>
        <w:t>run</w:t>
      </w:r>
      <w:r w:rsidR="00A33536" w:rsidRPr="00D7407F">
        <w:rPr>
          <w:rFonts w:ascii="Calibri" w:hAnsi="Calibri" w:cs="Calibri"/>
        </w:rPr>
        <w:t xml:space="preserve">.  Fortunately, market stability is </w:t>
      </w:r>
      <w:r w:rsidR="009C14C9" w:rsidRPr="00D7407F">
        <w:rPr>
          <w:rFonts w:ascii="Calibri" w:hAnsi="Calibri" w:cs="Calibri"/>
        </w:rPr>
        <w:t xml:space="preserve">typically </w:t>
      </w:r>
      <w:r w:rsidR="00A33536" w:rsidRPr="00D7407F">
        <w:rPr>
          <w:rFonts w:ascii="Calibri" w:hAnsi="Calibri" w:cs="Calibri"/>
        </w:rPr>
        <w:t xml:space="preserve">restored before long as more clarity is known and uncertainty reduced. </w:t>
      </w:r>
    </w:p>
    <w:p w14:paraId="0E37A457" w14:textId="77777777" w:rsidR="00A33536" w:rsidRPr="00D7407F" w:rsidRDefault="00A33536" w:rsidP="00D7407F">
      <w:pPr>
        <w:pStyle w:val="NoSpacing"/>
        <w:rPr>
          <w:rFonts w:ascii="Calibri" w:hAnsi="Calibri" w:cs="Calibri"/>
        </w:rPr>
      </w:pPr>
    </w:p>
    <w:p w14:paraId="789B93F1" w14:textId="58673B5F" w:rsidR="00E64467" w:rsidRPr="00D7407F" w:rsidRDefault="004B6EF4" w:rsidP="00D7407F">
      <w:pPr>
        <w:pStyle w:val="NoSpacing"/>
        <w:rPr>
          <w:rFonts w:ascii="Calibri" w:hAnsi="Calibri" w:cs="Calibri"/>
        </w:rPr>
      </w:pPr>
      <w:r w:rsidRPr="00D7407F">
        <w:rPr>
          <w:rFonts w:ascii="Calibri" w:hAnsi="Calibri" w:cs="Calibri"/>
        </w:rPr>
        <w:t xml:space="preserve">After the recent Biden-Trump debate, </w:t>
      </w:r>
      <w:r w:rsidR="006D27F9" w:rsidRPr="00D7407F">
        <w:rPr>
          <w:rFonts w:ascii="Calibri" w:hAnsi="Calibri" w:cs="Calibri"/>
        </w:rPr>
        <w:t>an increasing number of</w:t>
      </w:r>
      <w:r w:rsidRPr="00D7407F">
        <w:rPr>
          <w:rFonts w:ascii="Calibri" w:hAnsi="Calibri" w:cs="Calibri"/>
        </w:rPr>
        <w:t xml:space="preserve"> investors are anticipating that Trump w</w:t>
      </w:r>
      <w:r w:rsidR="006F2AA8" w:rsidRPr="00D7407F">
        <w:rPr>
          <w:rFonts w:ascii="Calibri" w:hAnsi="Calibri" w:cs="Calibri"/>
        </w:rPr>
        <w:t>ill</w:t>
      </w:r>
      <w:r w:rsidRPr="00D7407F">
        <w:rPr>
          <w:rFonts w:ascii="Calibri" w:hAnsi="Calibri" w:cs="Calibri"/>
        </w:rPr>
        <w:t xml:space="preserve"> win not just the presidency but also Congress. Given such an outcome, Trump would have few restrictions on his agenda which markets</w:t>
      </w:r>
      <w:r w:rsidR="00E055E5" w:rsidRPr="00D7407F">
        <w:rPr>
          <w:rFonts w:ascii="Calibri" w:hAnsi="Calibri" w:cs="Calibri"/>
        </w:rPr>
        <w:t xml:space="preserve"> </w:t>
      </w:r>
      <w:r w:rsidR="00E81B23" w:rsidRPr="00D7407F">
        <w:rPr>
          <w:rFonts w:ascii="Calibri" w:hAnsi="Calibri" w:cs="Calibri"/>
        </w:rPr>
        <w:t xml:space="preserve">now </w:t>
      </w:r>
      <w:r w:rsidR="00E055E5" w:rsidRPr="00D7407F">
        <w:rPr>
          <w:rFonts w:ascii="Calibri" w:hAnsi="Calibri" w:cs="Calibri"/>
        </w:rPr>
        <w:t>interpret to</w:t>
      </w:r>
      <w:r w:rsidRPr="00D7407F">
        <w:rPr>
          <w:rFonts w:ascii="Calibri" w:hAnsi="Calibri" w:cs="Calibri"/>
        </w:rPr>
        <w:t xml:space="preserve"> mean even </w:t>
      </w:r>
      <w:r w:rsidR="00436476" w:rsidRPr="00D7407F">
        <w:rPr>
          <w:rFonts w:ascii="Calibri" w:hAnsi="Calibri" w:cs="Calibri"/>
        </w:rPr>
        <w:t>larger</w:t>
      </w:r>
      <w:r w:rsidRPr="00D7407F">
        <w:rPr>
          <w:rFonts w:ascii="Calibri" w:hAnsi="Calibri" w:cs="Calibri"/>
        </w:rPr>
        <w:t xml:space="preserve"> deficits and higher interest rates.</w:t>
      </w:r>
      <w:r w:rsidR="00E81B23" w:rsidRPr="00D7407F">
        <w:rPr>
          <w:rFonts w:ascii="Calibri" w:hAnsi="Calibri" w:cs="Calibri"/>
        </w:rPr>
        <w:t xml:space="preserve"> </w:t>
      </w:r>
      <w:r w:rsidR="005B4C02" w:rsidRPr="00D7407F">
        <w:rPr>
          <w:rFonts w:ascii="Calibri" w:hAnsi="Calibri" w:cs="Calibri"/>
        </w:rPr>
        <w:t xml:space="preserve">Conversely, a Democratic victory would </w:t>
      </w:r>
      <w:r w:rsidR="0067066D" w:rsidRPr="00D7407F">
        <w:rPr>
          <w:rFonts w:ascii="Calibri" w:hAnsi="Calibri" w:cs="Calibri"/>
        </w:rPr>
        <w:t>undoubtedly</w:t>
      </w:r>
      <w:r w:rsidR="005B4C02" w:rsidRPr="00D7407F">
        <w:rPr>
          <w:rFonts w:ascii="Calibri" w:hAnsi="Calibri" w:cs="Calibri"/>
        </w:rPr>
        <w:t xml:space="preserve"> result in </w:t>
      </w:r>
      <w:r w:rsidR="0067066D" w:rsidRPr="00D7407F">
        <w:rPr>
          <w:rFonts w:ascii="Calibri" w:hAnsi="Calibri" w:cs="Calibri"/>
        </w:rPr>
        <w:t xml:space="preserve">a </w:t>
      </w:r>
      <w:r w:rsidR="005B4C02" w:rsidRPr="00D7407F">
        <w:rPr>
          <w:rFonts w:ascii="Calibri" w:hAnsi="Calibri" w:cs="Calibri"/>
        </w:rPr>
        <w:t>s</w:t>
      </w:r>
      <w:r w:rsidR="0067066D" w:rsidRPr="00D7407F">
        <w:rPr>
          <w:rFonts w:ascii="Calibri" w:hAnsi="Calibri" w:cs="Calibri"/>
        </w:rPr>
        <w:t>imilar</w:t>
      </w:r>
      <w:r w:rsidR="005B4C02" w:rsidRPr="00D7407F">
        <w:rPr>
          <w:rFonts w:ascii="Calibri" w:hAnsi="Calibri" w:cs="Calibri"/>
        </w:rPr>
        <w:t xml:space="preserve"> outcome. </w:t>
      </w:r>
      <w:r w:rsidR="001871C1" w:rsidRPr="00D7407F">
        <w:rPr>
          <w:rFonts w:ascii="Calibri" w:hAnsi="Calibri" w:cs="Calibri"/>
        </w:rPr>
        <w:t>Nevertheless, investor consensus suggest</w:t>
      </w:r>
      <w:r w:rsidR="00436476" w:rsidRPr="00D7407F">
        <w:rPr>
          <w:rFonts w:ascii="Calibri" w:hAnsi="Calibri" w:cs="Calibri"/>
        </w:rPr>
        <w:t>s</w:t>
      </w:r>
      <w:r w:rsidR="001871C1" w:rsidRPr="00D7407F">
        <w:rPr>
          <w:rFonts w:ascii="Calibri" w:hAnsi="Calibri" w:cs="Calibri"/>
        </w:rPr>
        <w:t xml:space="preserve"> a Trump victory would be </w:t>
      </w:r>
      <w:r w:rsidR="006D27F9" w:rsidRPr="00D7407F">
        <w:rPr>
          <w:rFonts w:ascii="Calibri" w:hAnsi="Calibri" w:cs="Calibri"/>
        </w:rPr>
        <w:t xml:space="preserve">more </w:t>
      </w:r>
      <w:r w:rsidR="001871C1" w:rsidRPr="00D7407F">
        <w:rPr>
          <w:rFonts w:ascii="Calibri" w:hAnsi="Calibri" w:cs="Calibri"/>
        </w:rPr>
        <w:t>favorable for the U.S. stock market.</w:t>
      </w:r>
      <w:r w:rsidR="00AF36B1" w:rsidRPr="00D7407F">
        <w:rPr>
          <w:rFonts w:ascii="Calibri" w:hAnsi="Calibri" w:cs="Calibri"/>
        </w:rPr>
        <w:t xml:space="preserve"> </w:t>
      </w:r>
      <w:r w:rsidR="006D27F9" w:rsidRPr="00D7407F">
        <w:rPr>
          <w:rFonts w:ascii="Calibri" w:hAnsi="Calibri" w:cs="Calibri"/>
        </w:rPr>
        <w:t xml:space="preserve">Why? For </w:t>
      </w:r>
      <w:r w:rsidR="004C33CC" w:rsidRPr="00D7407F">
        <w:rPr>
          <w:rFonts w:ascii="Calibri" w:hAnsi="Calibri" w:cs="Calibri"/>
        </w:rPr>
        <w:t>30 years</w:t>
      </w:r>
      <w:r w:rsidR="006D27F9" w:rsidRPr="00D7407F">
        <w:rPr>
          <w:rFonts w:ascii="Calibri" w:hAnsi="Calibri" w:cs="Calibri"/>
        </w:rPr>
        <w:t xml:space="preserve"> economies have </w:t>
      </w:r>
      <w:r w:rsidR="00D22BA1" w:rsidRPr="00D7407F">
        <w:rPr>
          <w:rFonts w:ascii="Calibri" w:hAnsi="Calibri" w:cs="Calibri"/>
        </w:rPr>
        <w:t>migrated</w:t>
      </w:r>
      <w:r w:rsidR="006D27F9" w:rsidRPr="00D7407F">
        <w:rPr>
          <w:rFonts w:ascii="Calibri" w:hAnsi="Calibri" w:cs="Calibri"/>
        </w:rPr>
        <w:t xml:space="preserve"> toward increased </w:t>
      </w:r>
      <w:r w:rsidR="004C33CC" w:rsidRPr="00D7407F">
        <w:rPr>
          <w:rFonts w:ascii="Calibri" w:hAnsi="Calibri" w:cs="Calibri"/>
        </w:rPr>
        <w:t>globalization</w:t>
      </w:r>
      <w:r w:rsidR="006D27F9" w:rsidRPr="00D7407F">
        <w:rPr>
          <w:rFonts w:ascii="Calibri" w:hAnsi="Calibri" w:cs="Calibri"/>
        </w:rPr>
        <w:t xml:space="preserve"> resulting in more </w:t>
      </w:r>
      <w:r w:rsidR="004C33CC" w:rsidRPr="00D7407F">
        <w:rPr>
          <w:rFonts w:ascii="Calibri" w:hAnsi="Calibri" w:cs="Calibri"/>
        </w:rPr>
        <w:t>competition</w:t>
      </w:r>
      <w:r w:rsidR="006D27F9" w:rsidRPr="00D7407F">
        <w:rPr>
          <w:rFonts w:ascii="Calibri" w:hAnsi="Calibri" w:cs="Calibri"/>
        </w:rPr>
        <w:t xml:space="preserve">, </w:t>
      </w:r>
      <w:r w:rsidR="00436476" w:rsidRPr="00D7407F">
        <w:rPr>
          <w:rFonts w:ascii="Calibri" w:hAnsi="Calibri" w:cs="Calibri"/>
        </w:rPr>
        <w:t>lowering</w:t>
      </w:r>
      <w:r w:rsidR="004C33CC" w:rsidRPr="00D7407F">
        <w:rPr>
          <w:rFonts w:ascii="Calibri" w:hAnsi="Calibri" w:cs="Calibri"/>
        </w:rPr>
        <w:t xml:space="preserve"> price</w:t>
      </w:r>
      <w:r w:rsidR="006D27F9" w:rsidRPr="00D7407F">
        <w:rPr>
          <w:rFonts w:ascii="Calibri" w:hAnsi="Calibri" w:cs="Calibri"/>
        </w:rPr>
        <w:t>s</w:t>
      </w:r>
      <w:r w:rsidR="00D22BA1" w:rsidRPr="00D7407F">
        <w:rPr>
          <w:rFonts w:ascii="Calibri" w:hAnsi="Calibri" w:cs="Calibri"/>
        </w:rPr>
        <w:t xml:space="preserve"> and inflation</w:t>
      </w:r>
      <w:r w:rsidR="006D27F9" w:rsidRPr="00D7407F">
        <w:rPr>
          <w:rFonts w:ascii="Calibri" w:hAnsi="Calibri" w:cs="Calibri"/>
        </w:rPr>
        <w:t xml:space="preserve"> for consumers</w:t>
      </w:r>
      <w:r w:rsidR="004C33CC" w:rsidRPr="00D7407F">
        <w:rPr>
          <w:rFonts w:ascii="Calibri" w:hAnsi="Calibri" w:cs="Calibri"/>
        </w:rPr>
        <w:t xml:space="preserve">. </w:t>
      </w:r>
      <w:r w:rsidR="006D27F9" w:rsidRPr="00D7407F">
        <w:rPr>
          <w:rFonts w:ascii="Calibri" w:hAnsi="Calibri" w:cs="Calibri"/>
        </w:rPr>
        <w:t xml:space="preserve">Under Trump’s </w:t>
      </w:r>
      <w:r w:rsidR="00436476" w:rsidRPr="00D7407F">
        <w:rPr>
          <w:rFonts w:ascii="Calibri" w:hAnsi="Calibri" w:cs="Calibri"/>
        </w:rPr>
        <w:t>“</w:t>
      </w:r>
      <w:r w:rsidR="006D27F9" w:rsidRPr="00D7407F">
        <w:rPr>
          <w:rFonts w:ascii="Calibri" w:hAnsi="Calibri" w:cs="Calibri"/>
        </w:rPr>
        <w:t xml:space="preserve">America First” deglobalization policy, bringing back manufacturing to </w:t>
      </w:r>
      <w:r w:rsidR="005B4C02" w:rsidRPr="00D7407F">
        <w:rPr>
          <w:rFonts w:ascii="Calibri" w:hAnsi="Calibri" w:cs="Calibri"/>
        </w:rPr>
        <w:t xml:space="preserve">the </w:t>
      </w:r>
      <w:r w:rsidR="006D27F9" w:rsidRPr="00D7407F">
        <w:rPr>
          <w:rFonts w:ascii="Calibri" w:hAnsi="Calibri" w:cs="Calibri"/>
        </w:rPr>
        <w:t xml:space="preserve">U.S. </w:t>
      </w:r>
      <w:r w:rsidR="00D22BA1" w:rsidRPr="00D7407F">
        <w:rPr>
          <w:rFonts w:ascii="Calibri" w:hAnsi="Calibri" w:cs="Calibri"/>
        </w:rPr>
        <w:t>along with</w:t>
      </w:r>
      <w:r w:rsidR="00AF36B1" w:rsidRPr="00D7407F">
        <w:rPr>
          <w:rFonts w:ascii="Calibri" w:hAnsi="Calibri" w:cs="Calibri"/>
        </w:rPr>
        <w:t xml:space="preserve"> expected </w:t>
      </w:r>
      <w:r w:rsidR="00D22BA1" w:rsidRPr="00D7407F">
        <w:rPr>
          <w:rFonts w:ascii="Calibri" w:hAnsi="Calibri" w:cs="Calibri"/>
        </w:rPr>
        <w:t xml:space="preserve">tariffs on foreign made goods </w:t>
      </w:r>
      <w:r w:rsidR="0067066D" w:rsidRPr="00D7407F">
        <w:rPr>
          <w:rFonts w:ascii="Calibri" w:hAnsi="Calibri" w:cs="Calibri"/>
        </w:rPr>
        <w:t>infers</w:t>
      </w:r>
      <w:r w:rsidR="00D22BA1" w:rsidRPr="00D7407F">
        <w:rPr>
          <w:rFonts w:ascii="Calibri" w:hAnsi="Calibri" w:cs="Calibri"/>
        </w:rPr>
        <w:t xml:space="preserve"> America’s companies </w:t>
      </w:r>
      <w:r w:rsidR="00E41F8D" w:rsidRPr="00D7407F">
        <w:rPr>
          <w:rFonts w:ascii="Calibri" w:hAnsi="Calibri" w:cs="Calibri"/>
        </w:rPr>
        <w:t>may have an advantage over foreign companies.</w:t>
      </w:r>
      <w:r w:rsidR="00D22BA1" w:rsidRPr="00D7407F">
        <w:rPr>
          <w:rFonts w:ascii="Calibri" w:hAnsi="Calibri" w:cs="Calibri"/>
        </w:rPr>
        <w:t xml:space="preserve"> </w:t>
      </w:r>
      <w:r w:rsidR="00E41F8D" w:rsidRPr="00D7407F">
        <w:rPr>
          <w:rFonts w:ascii="Calibri" w:hAnsi="Calibri" w:cs="Calibri"/>
        </w:rPr>
        <w:t>Globalization is already starting to contract</w:t>
      </w:r>
      <w:r w:rsidR="00436476" w:rsidRPr="00D7407F">
        <w:rPr>
          <w:rFonts w:ascii="Calibri" w:hAnsi="Calibri" w:cs="Calibri"/>
        </w:rPr>
        <w:t>. This changes</w:t>
      </w:r>
      <w:r w:rsidR="00E41F8D" w:rsidRPr="00D7407F">
        <w:rPr>
          <w:rFonts w:ascii="Calibri" w:hAnsi="Calibri" w:cs="Calibri"/>
        </w:rPr>
        <w:t xml:space="preserve"> </w:t>
      </w:r>
      <w:r w:rsidR="0067066D" w:rsidRPr="00D7407F">
        <w:rPr>
          <w:rFonts w:ascii="Calibri" w:hAnsi="Calibri" w:cs="Calibri"/>
        </w:rPr>
        <w:t xml:space="preserve">international </w:t>
      </w:r>
      <w:r w:rsidR="00E41F8D" w:rsidRPr="00D7407F">
        <w:rPr>
          <w:rFonts w:ascii="Calibri" w:hAnsi="Calibri" w:cs="Calibri"/>
        </w:rPr>
        <w:t xml:space="preserve">trade relations and </w:t>
      </w:r>
      <w:r w:rsidR="0067066D" w:rsidRPr="00D7407F">
        <w:rPr>
          <w:rFonts w:ascii="Calibri" w:hAnsi="Calibri" w:cs="Calibri"/>
        </w:rPr>
        <w:t xml:space="preserve">manufacturing </w:t>
      </w:r>
      <w:r w:rsidR="00E41F8D" w:rsidRPr="00D7407F">
        <w:rPr>
          <w:rFonts w:ascii="Calibri" w:hAnsi="Calibri" w:cs="Calibri"/>
        </w:rPr>
        <w:t xml:space="preserve">supply chains, natural resource procurement and energy security, </w:t>
      </w:r>
      <w:r w:rsidR="0067066D" w:rsidRPr="00D7407F">
        <w:rPr>
          <w:rFonts w:ascii="Calibri" w:hAnsi="Calibri" w:cs="Calibri"/>
        </w:rPr>
        <w:t xml:space="preserve">NATO and other </w:t>
      </w:r>
      <w:r w:rsidR="00E41F8D" w:rsidRPr="00D7407F">
        <w:rPr>
          <w:rFonts w:ascii="Calibri" w:hAnsi="Calibri" w:cs="Calibri"/>
        </w:rPr>
        <w:t>defense alliances</w:t>
      </w:r>
      <w:r w:rsidR="0067066D" w:rsidRPr="00D7407F">
        <w:rPr>
          <w:rFonts w:ascii="Calibri" w:hAnsi="Calibri" w:cs="Calibri"/>
        </w:rPr>
        <w:t>,</w:t>
      </w:r>
      <w:r w:rsidR="00E41F8D" w:rsidRPr="00D7407F">
        <w:rPr>
          <w:rFonts w:ascii="Calibri" w:hAnsi="Calibri" w:cs="Calibri"/>
        </w:rPr>
        <w:t xml:space="preserve"> technology sharing</w:t>
      </w:r>
      <w:r w:rsidR="0067066D" w:rsidRPr="00D7407F">
        <w:rPr>
          <w:rFonts w:ascii="Calibri" w:hAnsi="Calibri" w:cs="Calibri"/>
        </w:rPr>
        <w:t xml:space="preserve"> as demonstrated by E</w:t>
      </w:r>
      <w:r w:rsidR="00EC3986" w:rsidRPr="00D7407F">
        <w:rPr>
          <w:rFonts w:ascii="Calibri" w:hAnsi="Calibri" w:cs="Calibri"/>
        </w:rPr>
        <w:t xml:space="preserve">uropean countries’ desire to </w:t>
      </w:r>
      <w:r w:rsidR="00436476" w:rsidRPr="00D7407F">
        <w:rPr>
          <w:rFonts w:ascii="Calibri" w:hAnsi="Calibri" w:cs="Calibri"/>
        </w:rPr>
        <w:t>reduce dependency</w:t>
      </w:r>
      <w:r w:rsidR="00EC3986" w:rsidRPr="00D7407F">
        <w:rPr>
          <w:rFonts w:ascii="Calibri" w:hAnsi="Calibri" w:cs="Calibri"/>
        </w:rPr>
        <w:t xml:space="preserve"> on Elon Musk’s SpaceX satellite</w:t>
      </w:r>
      <w:r w:rsidR="00436476" w:rsidRPr="00D7407F">
        <w:rPr>
          <w:rFonts w:ascii="Calibri" w:hAnsi="Calibri" w:cs="Calibri"/>
        </w:rPr>
        <w:t>s</w:t>
      </w:r>
      <w:r w:rsidR="00EC3986" w:rsidRPr="00D7407F">
        <w:rPr>
          <w:rFonts w:ascii="Calibri" w:hAnsi="Calibri" w:cs="Calibri"/>
        </w:rPr>
        <w:t xml:space="preserve"> and spacecrafts</w:t>
      </w:r>
      <w:r w:rsidR="00E41F8D" w:rsidRPr="00D7407F">
        <w:rPr>
          <w:rFonts w:ascii="Calibri" w:hAnsi="Calibri" w:cs="Calibri"/>
        </w:rPr>
        <w:t xml:space="preserve">, </w:t>
      </w:r>
      <w:r w:rsidR="00434F38" w:rsidRPr="00D7407F">
        <w:rPr>
          <w:rFonts w:ascii="Calibri" w:hAnsi="Calibri" w:cs="Calibri"/>
        </w:rPr>
        <w:t>redistribution</w:t>
      </w:r>
      <w:r w:rsidR="00EC3986" w:rsidRPr="00D7407F">
        <w:rPr>
          <w:rFonts w:ascii="Calibri" w:hAnsi="Calibri" w:cs="Calibri"/>
        </w:rPr>
        <w:t xml:space="preserve"> of </w:t>
      </w:r>
      <w:r w:rsidR="00E41F8D" w:rsidRPr="00D7407F">
        <w:rPr>
          <w:rFonts w:ascii="Calibri" w:hAnsi="Calibri" w:cs="Calibri"/>
        </w:rPr>
        <w:t>labor</w:t>
      </w:r>
      <w:r w:rsidR="00EC3986" w:rsidRPr="00D7407F">
        <w:rPr>
          <w:rFonts w:ascii="Calibri" w:hAnsi="Calibri" w:cs="Calibri"/>
        </w:rPr>
        <w:t xml:space="preserve"> </w:t>
      </w:r>
      <w:r w:rsidR="00434F38" w:rsidRPr="00D7407F">
        <w:rPr>
          <w:rFonts w:ascii="Calibri" w:hAnsi="Calibri" w:cs="Calibri"/>
        </w:rPr>
        <w:t>to other</w:t>
      </w:r>
      <w:r w:rsidR="00EC3986" w:rsidRPr="00D7407F">
        <w:rPr>
          <w:rFonts w:ascii="Calibri" w:hAnsi="Calibri" w:cs="Calibri"/>
        </w:rPr>
        <w:t xml:space="preserve"> countries, and more</w:t>
      </w:r>
      <w:r w:rsidR="00E41F8D" w:rsidRPr="00D7407F">
        <w:rPr>
          <w:rFonts w:ascii="Calibri" w:hAnsi="Calibri" w:cs="Calibri"/>
        </w:rPr>
        <w:t xml:space="preserve">. </w:t>
      </w:r>
      <w:r w:rsidR="00EC3986" w:rsidRPr="00D7407F">
        <w:rPr>
          <w:rFonts w:ascii="Calibri" w:hAnsi="Calibri" w:cs="Calibri"/>
        </w:rPr>
        <w:t>Increasing</w:t>
      </w:r>
      <w:r w:rsidR="00D22BA1" w:rsidRPr="00D7407F">
        <w:rPr>
          <w:rFonts w:ascii="Calibri" w:hAnsi="Calibri" w:cs="Calibri"/>
        </w:rPr>
        <w:t xml:space="preserve"> </w:t>
      </w:r>
      <w:r w:rsidR="00AF36B1" w:rsidRPr="00D7407F">
        <w:rPr>
          <w:rFonts w:ascii="Calibri" w:hAnsi="Calibri" w:cs="Calibri"/>
        </w:rPr>
        <w:t xml:space="preserve">U.S. </w:t>
      </w:r>
      <w:r w:rsidR="00D22BA1" w:rsidRPr="00D7407F">
        <w:rPr>
          <w:rFonts w:ascii="Calibri" w:hAnsi="Calibri" w:cs="Calibri"/>
        </w:rPr>
        <w:t>jobs</w:t>
      </w:r>
      <w:r w:rsidR="00AF36B1" w:rsidRPr="00D7407F">
        <w:rPr>
          <w:rFonts w:ascii="Calibri" w:hAnsi="Calibri" w:cs="Calibri"/>
        </w:rPr>
        <w:t xml:space="preserve"> at higher wages than workers receive overse</w:t>
      </w:r>
      <w:r w:rsidR="00434F38" w:rsidRPr="00D7407F">
        <w:rPr>
          <w:rFonts w:ascii="Calibri" w:hAnsi="Calibri" w:cs="Calibri"/>
        </w:rPr>
        <w:t>a</w:t>
      </w:r>
      <w:r w:rsidR="00AF36B1" w:rsidRPr="00D7407F">
        <w:rPr>
          <w:rFonts w:ascii="Calibri" w:hAnsi="Calibri" w:cs="Calibri"/>
        </w:rPr>
        <w:t xml:space="preserve">s also </w:t>
      </w:r>
      <w:r w:rsidR="00E41F8D" w:rsidRPr="00D7407F">
        <w:rPr>
          <w:rFonts w:ascii="Calibri" w:hAnsi="Calibri" w:cs="Calibri"/>
        </w:rPr>
        <w:t xml:space="preserve">may </w:t>
      </w:r>
      <w:r w:rsidR="00AF36B1" w:rsidRPr="00D7407F">
        <w:rPr>
          <w:rFonts w:ascii="Calibri" w:hAnsi="Calibri" w:cs="Calibri"/>
        </w:rPr>
        <w:t xml:space="preserve">mean moving from </w:t>
      </w:r>
      <w:r w:rsidR="006D27F9" w:rsidRPr="00D7407F">
        <w:rPr>
          <w:rFonts w:ascii="Calibri" w:hAnsi="Calibri" w:cs="Calibri"/>
        </w:rPr>
        <w:t xml:space="preserve">a two </w:t>
      </w:r>
      <w:r w:rsidR="00447DC5" w:rsidRPr="00D7407F">
        <w:rPr>
          <w:rFonts w:ascii="Calibri" w:hAnsi="Calibri" w:cs="Calibri"/>
        </w:rPr>
        <w:t xml:space="preserve">percent </w:t>
      </w:r>
      <w:r w:rsidR="006D27F9" w:rsidRPr="00D7407F">
        <w:rPr>
          <w:rFonts w:ascii="Calibri" w:hAnsi="Calibri" w:cs="Calibri"/>
        </w:rPr>
        <w:t>to three percent inflation</w:t>
      </w:r>
      <w:r w:rsidR="004C33CC" w:rsidRPr="00D7407F">
        <w:rPr>
          <w:rFonts w:ascii="Calibri" w:hAnsi="Calibri" w:cs="Calibri"/>
        </w:rPr>
        <w:t xml:space="preserve"> </w:t>
      </w:r>
      <w:r w:rsidR="00D22BA1" w:rsidRPr="00D7407F">
        <w:rPr>
          <w:rFonts w:ascii="Calibri" w:hAnsi="Calibri" w:cs="Calibri"/>
        </w:rPr>
        <w:t>environment</w:t>
      </w:r>
      <w:r w:rsidR="00D0678D" w:rsidRPr="00D7407F">
        <w:rPr>
          <w:rFonts w:ascii="Calibri" w:hAnsi="Calibri" w:cs="Calibri"/>
        </w:rPr>
        <w:t xml:space="preserve">. </w:t>
      </w:r>
      <w:r w:rsidR="004C33CC" w:rsidRPr="00D7407F">
        <w:rPr>
          <w:rFonts w:ascii="Calibri" w:hAnsi="Calibri" w:cs="Calibri"/>
        </w:rPr>
        <w:t xml:space="preserve">Re-industrialization of America </w:t>
      </w:r>
      <w:r w:rsidR="00447DC5" w:rsidRPr="00D7407F">
        <w:rPr>
          <w:rFonts w:ascii="Calibri" w:hAnsi="Calibri" w:cs="Calibri"/>
        </w:rPr>
        <w:t>may</w:t>
      </w:r>
      <w:r w:rsidR="00D0678D" w:rsidRPr="00D7407F">
        <w:rPr>
          <w:rFonts w:ascii="Calibri" w:hAnsi="Calibri" w:cs="Calibri"/>
        </w:rPr>
        <w:t xml:space="preserve"> b</w:t>
      </w:r>
      <w:r w:rsidR="004C33CC" w:rsidRPr="00D7407F">
        <w:rPr>
          <w:rFonts w:ascii="Calibri" w:hAnsi="Calibri" w:cs="Calibri"/>
        </w:rPr>
        <w:t>e a great investment theme</w:t>
      </w:r>
      <w:r w:rsidR="00AF36B1" w:rsidRPr="00D7407F">
        <w:rPr>
          <w:rFonts w:ascii="Calibri" w:hAnsi="Calibri" w:cs="Calibri"/>
        </w:rPr>
        <w:t xml:space="preserve"> benefiting many</w:t>
      </w:r>
      <w:r w:rsidR="00434F38" w:rsidRPr="00D7407F">
        <w:rPr>
          <w:rFonts w:ascii="Calibri" w:hAnsi="Calibri" w:cs="Calibri"/>
        </w:rPr>
        <w:t xml:space="preserve"> companies in the U.S</w:t>
      </w:r>
      <w:r w:rsidR="00AF36B1" w:rsidRPr="00D7407F">
        <w:rPr>
          <w:rFonts w:ascii="Calibri" w:hAnsi="Calibri" w:cs="Calibri"/>
        </w:rPr>
        <w:t>.</w:t>
      </w:r>
      <w:r w:rsidR="00E64467" w:rsidRPr="00D7407F">
        <w:rPr>
          <w:rFonts w:ascii="Calibri" w:hAnsi="Calibri" w:cs="Calibri"/>
        </w:rPr>
        <w:t xml:space="preserve"> If there is a clear </w:t>
      </w:r>
      <w:r w:rsidR="00B444F7" w:rsidRPr="00D7407F">
        <w:rPr>
          <w:rFonts w:ascii="Calibri" w:hAnsi="Calibri" w:cs="Calibri"/>
        </w:rPr>
        <w:t xml:space="preserve">winner </w:t>
      </w:r>
      <w:r w:rsidR="00E64467" w:rsidRPr="00D7407F">
        <w:rPr>
          <w:rFonts w:ascii="Calibri" w:hAnsi="Calibri" w:cs="Calibri"/>
        </w:rPr>
        <w:t>th</w:t>
      </w:r>
      <w:r w:rsidR="003772C8" w:rsidRPr="00D7407F">
        <w:rPr>
          <w:rFonts w:ascii="Calibri" w:hAnsi="Calibri" w:cs="Calibri"/>
        </w:rPr>
        <w:t>is</w:t>
      </w:r>
      <w:r w:rsidR="00E64467" w:rsidRPr="00D7407F">
        <w:rPr>
          <w:rFonts w:ascii="Calibri" w:hAnsi="Calibri" w:cs="Calibri"/>
        </w:rPr>
        <w:t xml:space="preserve"> election, financial markets are expected to rally, reflecting relief and avoid</w:t>
      </w:r>
      <w:r w:rsidR="00447DC5" w:rsidRPr="00D7407F">
        <w:rPr>
          <w:rFonts w:ascii="Calibri" w:hAnsi="Calibri" w:cs="Calibri"/>
        </w:rPr>
        <w:t xml:space="preserve">ance </w:t>
      </w:r>
      <w:r w:rsidR="00434F38" w:rsidRPr="00D7407F">
        <w:rPr>
          <w:rFonts w:ascii="Calibri" w:hAnsi="Calibri" w:cs="Calibri"/>
        </w:rPr>
        <w:t>of</w:t>
      </w:r>
      <w:r w:rsidR="00447DC5" w:rsidRPr="00D7407F">
        <w:rPr>
          <w:rFonts w:ascii="Calibri" w:hAnsi="Calibri" w:cs="Calibri"/>
        </w:rPr>
        <w:t xml:space="preserve"> </w:t>
      </w:r>
      <w:r w:rsidR="00E64467" w:rsidRPr="00D7407F">
        <w:rPr>
          <w:rFonts w:ascii="Calibri" w:hAnsi="Calibri" w:cs="Calibri"/>
        </w:rPr>
        <w:t>chaos and civil unrest.</w:t>
      </w:r>
    </w:p>
    <w:p w14:paraId="587B2D36" w14:textId="77777777" w:rsidR="00B444F7" w:rsidRPr="00D7407F" w:rsidRDefault="00B444F7" w:rsidP="00D7407F">
      <w:pPr>
        <w:pStyle w:val="NoSpacing"/>
        <w:rPr>
          <w:rFonts w:ascii="Calibri" w:hAnsi="Calibri" w:cs="Calibri"/>
        </w:rPr>
      </w:pPr>
    </w:p>
    <w:p w14:paraId="1CBF3EE4" w14:textId="7F97E038" w:rsidR="00587949" w:rsidRPr="00D7407F" w:rsidRDefault="00AD4C5E" w:rsidP="00D7407F">
      <w:pPr>
        <w:pStyle w:val="NoSpacing"/>
        <w:rPr>
          <w:rFonts w:ascii="Calibri" w:hAnsi="Calibri" w:cs="Calibri"/>
        </w:rPr>
      </w:pPr>
      <w:r w:rsidRPr="00D7407F">
        <w:rPr>
          <w:rFonts w:ascii="Calibri" w:hAnsi="Calibri" w:cs="Calibri"/>
        </w:rPr>
        <w:t xml:space="preserve">It is common knowledge that </w:t>
      </w:r>
      <w:r w:rsidR="00AF36B1" w:rsidRPr="00D7407F">
        <w:rPr>
          <w:rFonts w:ascii="Calibri" w:hAnsi="Calibri" w:cs="Calibri"/>
        </w:rPr>
        <w:t xml:space="preserve">President Biden’s popularity has suffered due to </w:t>
      </w:r>
      <w:r w:rsidR="000949D0" w:rsidRPr="00D7407F">
        <w:rPr>
          <w:rFonts w:ascii="Calibri" w:hAnsi="Calibri" w:cs="Calibri"/>
        </w:rPr>
        <w:t xml:space="preserve">the </w:t>
      </w:r>
      <w:r w:rsidRPr="00D7407F">
        <w:rPr>
          <w:rFonts w:ascii="Calibri" w:hAnsi="Calibri" w:cs="Calibri"/>
        </w:rPr>
        <w:t xml:space="preserve">higher cost of living for all consumers.  Less </w:t>
      </w:r>
      <w:r w:rsidR="005B4C02" w:rsidRPr="00D7407F">
        <w:rPr>
          <w:rFonts w:ascii="Calibri" w:hAnsi="Calibri" w:cs="Calibri"/>
        </w:rPr>
        <w:t xml:space="preserve">publicized </w:t>
      </w:r>
      <w:r w:rsidRPr="00D7407F">
        <w:rPr>
          <w:rFonts w:ascii="Calibri" w:hAnsi="Calibri" w:cs="Calibri"/>
        </w:rPr>
        <w:t xml:space="preserve">is that most companies are </w:t>
      </w:r>
      <w:r w:rsidR="005B4C02" w:rsidRPr="00D7407F">
        <w:rPr>
          <w:rFonts w:ascii="Calibri" w:hAnsi="Calibri" w:cs="Calibri"/>
        </w:rPr>
        <w:t>deeply challenged, too.</w:t>
      </w:r>
      <w:r w:rsidR="00090994" w:rsidRPr="00D7407F">
        <w:rPr>
          <w:rFonts w:ascii="Calibri" w:hAnsi="Calibri" w:cs="Calibri"/>
        </w:rPr>
        <w:t xml:space="preserve"> </w:t>
      </w:r>
      <w:r w:rsidR="005B4C02" w:rsidRPr="00D7407F">
        <w:rPr>
          <w:rFonts w:ascii="Calibri" w:hAnsi="Calibri" w:cs="Calibri"/>
        </w:rPr>
        <w:t>Without sufficient ability to pass on all cost increases in labor</w:t>
      </w:r>
      <w:r w:rsidR="00090994" w:rsidRPr="00D7407F">
        <w:rPr>
          <w:rFonts w:ascii="Calibri" w:hAnsi="Calibri" w:cs="Calibri"/>
        </w:rPr>
        <w:t>, goods, technology advances, and government regulation</w:t>
      </w:r>
      <w:r w:rsidR="005B4C02" w:rsidRPr="00D7407F">
        <w:rPr>
          <w:rFonts w:ascii="Calibri" w:hAnsi="Calibri" w:cs="Calibri"/>
        </w:rPr>
        <w:t xml:space="preserve"> to consumers, company profit margins have</w:t>
      </w:r>
      <w:r w:rsidR="00090994" w:rsidRPr="00D7407F">
        <w:rPr>
          <w:rFonts w:ascii="Calibri" w:hAnsi="Calibri" w:cs="Calibri"/>
        </w:rPr>
        <w:t xml:space="preserve"> been </w:t>
      </w:r>
      <w:r w:rsidR="000949D0" w:rsidRPr="00D7407F">
        <w:rPr>
          <w:rFonts w:ascii="Calibri" w:hAnsi="Calibri" w:cs="Calibri"/>
        </w:rPr>
        <w:t>negatively</w:t>
      </w:r>
      <w:r w:rsidR="00090994" w:rsidRPr="00D7407F">
        <w:rPr>
          <w:rFonts w:ascii="Calibri" w:hAnsi="Calibri" w:cs="Calibri"/>
        </w:rPr>
        <w:t xml:space="preserve"> impacted. </w:t>
      </w:r>
      <w:r w:rsidRPr="00D7407F">
        <w:rPr>
          <w:rFonts w:ascii="Calibri" w:hAnsi="Calibri" w:cs="Calibri"/>
        </w:rPr>
        <w:t xml:space="preserve">Only shareholders of the Magnificent </w:t>
      </w:r>
      <w:r w:rsidR="00E64467" w:rsidRPr="00D7407F">
        <w:rPr>
          <w:rFonts w:ascii="Calibri" w:hAnsi="Calibri" w:cs="Calibri"/>
        </w:rPr>
        <w:t>7</w:t>
      </w:r>
      <w:r w:rsidRPr="00D7407F">
        <w:rPr>
          <w:rFonts w:ascii="Calibri" w:hAnsi="Calibri" w:cs="Calibri"/>
        </w:rPr>
        <w:t xml:space="preserve"> (Alphabet/Google, Amazon, Apple, Meta Platforms, Microsoft, NVIDIA, and Tesla) and few other companies have prospered the last few years</w:t>
      </w:r>
      <w:r w:rsidR="00090994" w:rsidRPr="00D7407F">
        <w:rPr>
          <w:rFonts w:ascii="Calibri" w:hAnsi="Calibri" w:cs="Calibri"/>
        </w:rPr>
        <w:t xml:space="preserve"> due to their ability to grow profits well above inflation</w:t>
      </w:r>
      <w:r w:rsidRPr="00D7407F">
        <w:rPr>
          <w:rFonts w:ascii="Calibri" w:hAnsi="Calibri" w:cs="Calibri"/>
        </w:rPr>
        <w:t xml:space="preserve">. </w:t>
      </w:r>
      <w:r w:rsidR="00090994" w:rsidRPr="00D7407F">
        <w:rPr>
          <w:rFonts w:ascii="Calibri" w:hAnsi="Calibri" w:cs="Calibri"/>
        </w:rPr>
        <w:t>Consequently, t</w:t>
      </w:r>
      <w:r w:rsidR="00A03864" w:rsidRPr="00D7407F">
        <w:rPr>
          <w:rFonts w:ascii="Calibri" w:hAnsi="Calibri" w:cs="Calibri"/>
        </w:rPr>
        <w:t xml:space="preserve">he average </w:t>
      </w:r>
      <w:r w:rsidR="00587949" w:rsidRPr="00D7407F">
        <w:rPr>
          <w:rFonts w:ascii="Calibri" w:hAnsi="Calibri" w:cs="Calibri"/>
        </w:rPr>
        <w:t xml:space="preserve">large U.S. company </w:t>
      </w:r>
      <w:r w:rsidR="000949D0" w:rsidRPr="00D7407F">
        <w:rPr>
          <w:rFonts w:ascii="Calibri" w:hAnsi="Calibri" w:cs="Calibri"/>
        </w:rPr>
        <w:t>gained</w:t>
      </w:r>
      <w:r w:rsidR="00A03864" w:rsidRPr="00D7407F">
        <w:rPr>
          <w:rFonts w:ascii="Calibri" w:hAnsi="Calibri" w:cs="Calibri"/>
        </w:rPr>
        <w:t xml:space="preserve"> </w:t>
      </w:r>
      <w:r w:rsidR="00434F38" w:rsidRPr="00D7407F">
        <w:rPr>
          <w:rFonts w:ascii="Calibri" w:hAnsi="Calibri" w:cs="Calibri"/>
        </w:rPr>
        <w:t>6%</w:t>
      </w:r>
      <w:r w:rsidR="00587949" w:rsidRPr="00D7407F">
        <w:rPr>
          <w:rFonts w:ascii="Calibri" w:hAnsi="Calibri" w:cs="Calibri"/>
        </w:rPr>
        <w:t xml:space="preserve"> </w:t>
      </w:r>
      <w:r w:rsidR="00A03864" w:rsidRPr="00D7407F">
        <w:rPr>
          <w:rFonts w:ascii="Calibri" w:hAnsi="Calibri" w:cs="Calibri"/>
        </w:rPr>
        <w:t xml:space="preserve">in the first half of this year.  But many investors </w:t>
      </w:r>
      <w:r w:rsidRPr="00D7407F">
        <w:rPr>
          <w:rFonts w:ascii="Calibri" w:hAnsi="Calibri" w:cs="Calibri"/>
        </w:rPr>
        <w:t xml:space="preserve">feel </w:t>
      </w:r>
      <w:r w:rsidR="00A03864" w:rsidRPr="00D7407F">
        <w:rPr>
          <w:rFonts w:ascii="Calibri" w:hAnsi="Calibri" w:cs="Calibri"/>
        </w:rPr>
        <w:t xml:space="preserve">dissatisfied with those results if </w:t>
      </w:r>
      <w:r w:rsidR="00587949" w:rsidRPr="00D7407F">
        <w:rPr>
          <w:rFonts w:ascii="Calibri" w:hAnsi="Calibri" w:cs="Calibri"/>
        </w:rPr>
        <w:t>their</w:t>
      </w:r>
      <w:r w:rsidR="00A03864" w:rsidRPr="00D7407F">
        <w:rPr>
          <w:rFonts w:ascii="Calibri" w:hAnsi="Calibri" w:cs="Calibri"/>
        </w:rPr>
        <w:t xml:space="preserve"> portfolio didn’t </w:t>
      </w:r>
      <w:r w:rsidRPr="00D7407F">
        <w:rPr>
          <w:rFonts w:ascii="Calibri" w:hAnsi="Calibri" w:cs="Calibri"/>
        </w:rPr>
        <w:t xml:space="preserve">have at least a third of their equity holdings in </w:t>
      </w:r>
      <w:r w:rsidR="00090994" w:rsidRPr="00D7407F">
        <w:rPr>
          <w:rFonts w:ascii="Calibri" w:hAnsi="Calibri" w:cs="Calibri"/>
        </w:rPr>
        <w:t>Mag 7</w:t>
      </w:r>
      <w:r w:rsidRPr="00D7407F">
        <w:rPr>
          <w:rFonts w:ascii="Calibri" w:hAnsi="Calibri" w:cs="Calibri"/>
        </w:rPr>
        <w:t xml:space="preserve"> stocks</w:t>
      </w:r>
      <w:r w:rsidR="00090994" w:rsidRPr="00D7407F">
        <w:rPr>
          <w:rFonts w:ascii="Calibri" w:hAnsi="Calibri" w:cs="Calibri"/>
        </w:rPr>
        <w:t xml:space="preserve"> because the investors </w:t>
      </w:r>
      <w:r w:rsidRPr="00D7407F">
        <w:rPr>
          <w:rFonts w:ascii="Calibri" w:hAnsi="Calibri" w:cs="Calibri"/>
        </w:rPr>
        <w:t>that did</w:t>
      </w:r>
      <w:r w:rsidR="00587949" w:rsidRPr="00D7407F">
        <w:rPr>
          <w:rFonts w:ascii="Calibri" w:hAnsi="Calibri" w:cs="Calibri"/>
        </w:rPr>
        <w:t xml:space="preserve"> earned 15% during this period. Not to be misled, two thirds of this rate of return dispersion was due to the contribution of one stock, NV</w:t>
      </w:r>
      <w:r w:rsidR="009E6B6E" w:rsidRPr="00D7407F">
        <w:rPr>
          <w:rFonts w:ascii="Calibri" w:hAnsi="Calibri" w:cs="Calibri"/>
        </w:rPr>
        <w:t>I</w:t>
      </w:r>
      <w:r w:rsidR="00587949" w:rsidRPr="00D7407F">
        <w:rPr>
          <w:rFonts w:ascii="Calibri" w:hAnsi="Calibri" w:cs="Calibri"/>
        </w:rPr>
        <w:t xml:space="preserve">DIA, and little contribution from </w:t>
      </w:r>
      <w:r w:rsidR="00587949" w:rsidRPr="00D7407F">
        <w:rPr>
          <w:rFonts w:ascii="Calibri" w:hAnsi="Calibri" w:cs="Calibri"/>
        </w:rPr>
        <w:lastRenderedPageBreak/>
        <w:t>most of the other six.</w:t>
      </w:r>
      <w:r w:rsidR="00B50368" w:rsidRPr="00D7407F">
        <w:rPr>
          <w:rFonts w:ascii="Calibri" w:hAnsi="Calibri" w:cs="Calibri"/>
        </w:rPr>
        <w:t xml:space="preserve"> Investors haven’t experienced a market with so few stocks advancing since the 1930s, an economic environment </w:t>
      </w:r>
      <w:r w:rsidR="009E6B6E" w:rsidRPr="00D7407F">
        <w:rPr>
          <w:rFonts w:ascii="Calibri" w:hAnsi="Calibri" w:cs="Calibri"/>
        </w:rPr>
        <w:t xml:space="preserve">also </w:t>
      </w:r>
      <w:r w:rsidR="00B50368" w:rsidRPr="00D7407F">
        <w:rPr>
          <w:rFonts w:ascii="Calibri" w:hAnsi="Calibri" w:cs="Calibri"/>
        </w:rPr>
        <w:t xml:space="preserve">extremely difficult for companies to grow earnings. </w:t>
      </w:r>
      <w:r w:rsidR="00587949" w:rsidRPr="00D7407F">
        <w:rPr>
          <w:rFonts w:ascii="Calibri" w:hAnsi="Calibri" w:cs="Calibri"/>
        </w:rPr>
        <w:t>With interest rates expected to fall later this year,</w:t>
      </w:r>
      <w:r w:rsidR="00D9414B" w:rsidRPr="00D7407F">
        <w:rPr>
          <w:rFonts w:ascii="Calibri" w:hAnsi="Calibri" w:cs="Calibri"/>
        </w:rPr>
        <w:t xml:space="preserve"> </w:t>
      </w:r>
      <w:r w:rsidR="00587949" w:rsidRPr="00D7407F">
        <w:rPr>
          <w:rFonts w:ascii="Calibri" w:hAnsi="Calibri" w:cs="Calibri"/>
        </w:rPr>
        <w:t xml:space="preserve">investors </w:t>
      </w:r>
      <w:r w:rsidR="00D9414B" w:rsidRPr="00D7407F">
        <w:rPr>
          <w:rFonts w:ascii="Calibri" w:hAnsi="Calibri" w:cs="Calibri"/>
        </w:rPr>
        <w:t>increasingly</w:t>
      </w:r>
      <w:r w:rsidR="006527D2" w:rsidRPr="00D7407F">
        <w:rPr>
          <w:rFonts w:ascii="Calibri" w:hAnsi="Calibri" w:cs="Calibri"/>
        </w:rPr>
        <w:t xml:space="preserve"> believe </w:t>
      </w:r>
      <w:r w:rsidR="00587949" w:rsidRPr="00D7407F">
        <w:rPr>
          <w:rFonts w:ascii="Calibri" w:hAnsi="Calibri" w:cs="Calibri"/>
        </w:rPr>
        <w:t xml:space="preserve">that </w:t>
      </w:r>
      <w:r w:rsidR="006527D2" w:rsidRPr="00D7407F">
        <w:rPr>
          <w:rFonts w:ascii="Calibri" w:hAnsi="Calibri" w:cs="Calibri"/>
        </w:rPr>
        <w:t>more</w:t>
      </w:r>
      <w:r w:rsidR="00587949" w:rsidRPr="00D7407F">
        <w:rPr>
          <w:rFonts w:ascii="Calibri" w:hAnsi="Calibri" w:cs="Calibri"/>
        </w:rPr>
        <w:t xml:space="preserve"> companies, </w:t>
      </w:r>
      <w:r w:rsidR="00D9414B" w:rsidRPr="00D7407F">
        <w:rPr>
          <w:rFonts w:ascii="Calibri" w:hAnsi="Calibri" w:cs="Calibri"/>
        </w:rPr>
        <w:t xml:space="preserve">especially small and cyclical companies, </w:t>
      </w:r>
      <w:r w:rsidR="00587949" w:rsidRPr="00D7407F">
        <w:rPr>
          <w:rFonts w:ascii="Calibri" w:hAnsi="Calibri" w:cs="Calibri"/>
        </w:rPr>
        <w:t>will participate</w:t>
      </w:r>
      <w:r w:rsidR="00D9414B" w:rsidRPr="00D7407F">
        <w:rPr>
          <w:rFonts w:ascii="Calibri" w:hAnsi="Calibri" w:cs="Calibri"/>
        </w:rPr>
        <w:t xml:space="preserve"> and possibly lead</w:t>
      </w:r>
      <w:r w:rsidR="00587949" w:rsidRPr="00D7407F">
        <w:rPr>
          <w:rFonts w:ascii="Calibri" w:hAnsi="Calibri" w:cs="Calibri"/>
        </w:rPr>
        <w:t xml:space="preserve"> in further market gains. </w:t>
      </w:r>
      <w:r w:rsidR="00D9414B" w:rsidRPr="00D7407F">
        <w:rPr>
          <w:rFonts w:ascii="Calibri" w:hAnsi="Calibri" w:cs="Calibri"/>
        </w:rPr>
        <w:t xml:space="preserve">Some </w:t>
      </w:r>
      <w:r w:rsidR="00587949" w:rsidRPr="00D7407F">
        <w:rPr>
          <w:rFonts w:ascii="Calibri" w:hAnsi="Calibri" w:cs="Calibri"/>
        </w:rPr>
        <w:t>Wall Street analysts are</w:t>
      </w:r>
      <w:r w:rsidR="006527D2" w:rsidRPr="00D7407F">
        <w:rPr>
          <w:rFonts w:ascii="Calibri" w:hAnsi="Calibri" w:cs="Calibri"/>
        </w:rPr>
        <w:t xml:space="preserve"> even</w:t>
      </w:r>
      <w:r w:rsidR="00587949" w:rsidRPr="00D7407F">
        <w:rPr>
          <w:rFonts w:ascii="Calibri" w:hAnsi="Calibri" w:cs="Calibri"/>
        </w:rPr>
        <w:t xml:space="preserve"> forecasting earnings growth for </w:t>
      </w:r>
      <w:r w:rsidR="00D9414B" w:rsidRPr="00D7407F">
        <w:rPr>
          <w:rFonts w:ascii="Calibri" w:hAnsi="Calibri" w:cs="Calibri"/>
        </w:rPr>
        <w:t>smaller U.S. companies to</w:t>
      </w:r>
      <w:r w:rsidR="0066489A" w:rsidRPr="00D7407F">
        <w:rPr>
          <w:rFonts w:ascii="Calibri" w:hAnsi="Calibri" w:cs="Calibri"/>
        </w:rPr>
        <w:t xml:space="preserve"> </w:t>
      </w:r>
      <w:r w:rsidR="00D9414B" w:rsidRPr="00D7407F">
        <w:rPr>
          <w:rFonts w:ascii="Calibri" w:hAnsi="Calibri" w:cs="Calibri"/>
        </w:rPr>
        <w:t xml:space="preserve">be superior to the </w:t>
      </w:r>
      <w:r w:rsidR="009E6B6E" w:rsidRPr="00D7407F">
        <w:rPr>
          <w:rFonts w:ascii="Calibri" w:hAnsi="Calibri" w:cs="Calibri"/>
        </w:rPr>
        <w:t>Mag</w:t>
      </w:r>
      <w:r w:rsidR="00D9414B" w:rsidRPr="00D7407F">
        <w:rPr>
          <w:rFonts w:ascii="Calibri" w:hAnsi="Calibri" w:cs="Calibri"/>
        </w:rPr>
        <w:t xml:space="preserve"> </w:t>
      </w:r>
      <w:r w:rsidR="00E64467" w:rsidRPr="00D7407F">
        <w:rPr>
          <w:rFonts w:ascii="Calibri" w:hAnsi="Calibri" w:cs="Calibri"/>
        </w:rPr>
        <w:t>7</w:t>
      </w:r>
      <w:r w:rsidR="00D9414B" w:rsidRPr="00D7407F">
        <w:rPr>
          <w:rFonts w:ascii="Calibri" w:hAnsi="Calibri" w:cs="Calibri"/>
        </w:rPr>
        <w:t xml:space="preserve"> next year</w:t>
      </w:r>
      <w:r w:rsidR="00163DB7" w:rsidRPr="00D7407F">
        <w:rPr>
          <w:rFonts w:ascii="Calibri" w:hAnsi="Calibri" w:cs="Calibri"/>
        </w:rPr>
        <w:t xml:space="preserve"> which helps the case for a broadening in stock performance</w:t>
      </w:r>
      <w:r w:rsidR="00D9414B" w:rsidRPr="00D7407F">
        <w:rPr>
          <w:rFonts w:ascii="Calibri" w:hAnsi="Calibri" w:cs="Calibri"/>
        </w:rPr>
        <w:t xml:space="preserve">. </w:t>
      </w:r>
      <w:r w:rsidR="006527D2" w:rsidRPr="00D7407F">
        <w:rPr>
          <w:rFonts w:ascii="Calibri" w:hAnsi="Calibri" w:cs="Calibri"/>
        </w:rPr>
        <w:t>Furthermore, all 11 Standard &amp; Poor’s sectors are expected to post positive earnings growth in 2025. A minority of investors think that the stocks that benefited the most from artificial intelligence</w:t>
      </w:r>
      <w:r w:rsidR="009E6B6E" w:rsidRPr="00D7407F">
        <w:rPr>
          <w:rFonts w:ascii="Calibri" w:hAnsi="Calibri" w:cs="Calibri"/>
        </w:rPr>
        <w:t xml:space="preserve"> (AI)</w:t>
      </w:r>
      <w:r w:rsidR="006527D2" w:rsidRPr="00D7407F">
        <w:rPr>
          <w:rFonts w:ascii="Calibri" w:hAnsi="Calibri" w:cs="Calibri"/>
        </w:rPr>
        <w:t>, especially the Mag 7, may be vulnerable to increased risk from elevated valuations and the risk of an AI overbuild.</w:t>
      </w:r>
      <w:r w:rsidR="00D9414B" w:rsidRPr="00D7407F">
        <w:rPr>
          <w:rFonts w:ascii="Calibri" w:hAnsi="Calibri" w:cs="Calibri"/>
        </w:rPr>
        <w:t xml:space="preserve"> If th</w:t>
      </w:r>
      <w:r w:rsidR="00163DB7" w:rsidRPr="00D7407F">
        <w:rPr>
          <w:rFonts w:ascii="Calibri" w:hAnsi="Calibri" w:cs="Calibri"/>
        </w:rPr>
        <w:t>is</w:t>
      </w:r>
      <w:r w:rsidR="00D9414B" w:rsidRPr="00D7407F">
        <w:rPr>
          <w:rFonts w:ascii="Calibri" w:hAnsi="Calibri" w:cs="Calibri"/>
        </w:rPr>
        <w:t xml:space="preserve"> outlook</w:t>
      </w:r>
      <w:r w:rsidR="00E66AD5" w:rsidRPr="00D7407F">
        <w:rPr>
          <w:rFonts w:ascii="Calibri" w:hAnsi="Calibri" w:cs="Calibri"/>
        </w:rPr>
        <w:t xml:space="preserve"> materializes</w:t>
      </w:r>
      <w:r w:rsidR="00D9414B" w:rsidRPr="00D7407F">
        <w:rPr>
          <w:rFonts w:ascii="Calibri" w:hAnsi="Calibri" w:cs="Calibri"/>
        </w:rPr>
        <w:t>, t</w:t>
      </w:r>
      <w:r w:rsidR="00C7351C" w:rsidRPr="00D7407F">
        <w:rPr>
          <w:rFonts w:ascii="Calibri" w:hAnsi="Calibri" w:cs="Calibri"/>
        </w:rPr>
        <w:t xml:space="preserve">here is a </w:t>
      </w:r>
      <w:r w:rsidR="00D9414B" w:rsidRPr="00D7407F">
        <w:rPr>
          <w:rFonts w:ascii="Calibri" w:hAnsi="Calibri" w:cs="Calibri"/>
        </w:rPr>
        <w:t xml:space="preserve">compelling case for maintaining a </w:t>
      </w:r>
      <w:r w:rsidR="006527D2" w:rsidRPr="00D7407F">
        <w:rPr>
          <w:rFonts w:ascii="Calibri" w:hAnsi="Calibri" w:cs="Calibri"/>
        </w:rPr>
        <w:t xml:space="preserve">more prudent and time-tested </w:t>
      </w:r>
      <w:r w:rsidR="00D9414B" w:rsidRPr="00D7407F">
        <w:rPr>
          <w:rFonts w:ascii="Calibri" w:hAnsi="Calibri" w:cs="Calibri"/>
        </w:rPr>
        <w:t xml:space="preserve">diversified equity portfolio </w:t>
      </w:r>
      <w:r w:rsidR="006527D2" w:rsidRPr="00D7407F">
        <w:rPr>
          <w:rFonts w:ascii="Calibri" w:hAnsi="Calibri" w:cs="Calibri"/>
        </w:rPr>
        <w:t>strategy</w:t>
      </w:r>
      <w:r w:rsidR="00E66AD5" w:rsidRPr="00D7407F">
        <w:rPr>
          <w:rFonts w:ascii="Calibri" w:hAnsi="Calibri" w:cs="Calibri"/>
        </w:rPr>
        <w:t xml:space="preserve"> </w:t>
      </w:r>
      <w:r w:rsidR="00D9414B" w:rsidRPr="00D7407F">
        <w:rPr>
          <w:rFonts w:ascii="Calibri" w:hAnsi="Calibri" w:cs="Calibri"/>
        </w:rPr>
        <w:t xml:space="preserve">instead of paying a premium </w:t>
      </w:r>
      <w:r w:rsidR="00C7351C" w:rsidRPr="00D7407F">
        <w:rPr>
          <w:rFonts w:ascii="Calibri" w:hAnsi="Calibri" w:cs="Calibri"/>
        </w:rPr>
        <w:t xml:space="preserve">to concentrate holdings in a few companies </w:t>
      </w:r>
      <w:r w:rsidR="00D9414B" w:rsidRPr="00D7407F">
        <w:rPr>
          <w:rFonts w:ascii="Calibri" w:hAnsi="Calibri" w:cs="Calibri"/>
        </w:rPr>
        <w:t xml:space="preserve">believed to </w:t>
      </w:r>
      <w:r w:rsidR="00C7351C" w:rsidRPr="00D7407F">
        <w:rPr>
          <w:rFonts w:ascii="Calibri" w:hAnsi="Calibri" w:cs="Calibri"/>
        </w:rPr>
        <w:t xml:space="preserve">better </w:t>
      </w:r>
      <w:r w:rsidR="00D9414B" w:rsidRPr="00D7407F">
        <w:rPr>
          <w:rFonts w:ascii="Calibri" w:hAnsi="Calibri" w:cs="Calibri"/>
        </w:rPr>
        <w:t>endure a slower economy.</w:t>
      </w:r>
      <w:r w:rsidR="00E64467" w:rsidRPr="00D7407F">
        <w:rPr>
          <w:rFonts w:ascii="Calibri" w:hAnsi="Calibri" w:cs="Calibri"/>
        </w:rPr>
        <w:t xml:space="preserve"> </w:t>
      </w:r>
    </w:p>
    <w:p w14:paraId="7314159E" w14:textId="77777777" w:rsidR="00AF444A" w:rsidRPr="00D7407F" w:rsidRDefault="00AF444A" w:rsidP="00D7407F">
      <w:pPr>
        <w:pStyle w:val="NoSpacing"/>
        <w:rPr>
          <w:rFonts w:ascii="Calibri" w:hAnsi="Calibri" w:cs="Calibri"/>
        </w:rPr>
      </w:pPr>
    </w:p>
    <w:p w14:paraId="4C21090B" w14:textId="7051A593" w:rsidR="00B50368" w:rsidRPr="00D7407F" w:rsidRDefault="008A6F3F" w:rsidP="00D7407F">
      <w:pPr>
        <w:pStyle w:val="NoSpacing"/>
        <w:rPr>
          <w:rFonts w:ascii="Calibri" w:hAnsi="Calibri" w:cs="Calibri"/>
        </w:rPr>
      </w:pPr>
      <w:r w:rsidRPr="00D7407F">
        <w:rPr>
          <w:rFonts w:ascii="Calibri" w:hAnsi="Calibri" w:cs="Calibri"/>
        </w:rPr>
        <w:t xml:space="preserve">Bond inflows are </w:t>
      </w:r>
      <w:r w:rsidR="00C7351C" w:rsidRPr="00D7407F">
        <w:rPr>
          <w:rFonts w:ascii="Calibri" w:hAnsi="Calibri" w:cs="Calibri"/>
        </w:rPr>
        <w:t xml:space="preserve">now the </w:t>
      </w:r>
      <w:r w:rsidRPr="00D7407F">
        <w:rPr>
          <w:rFonts w:ascii="Calibri" w:hAnsi="Calibri" w:cs="Calibri"/>
        </w:rPr>
        <w:t>largest since 2021.</w:t>
      </w:r>
      <w:r w:rsidR="00C7351C" w:rsidRPr="00D7407F">
        <w:rPr>
          <w:rFonts w:ascii="Calibri" w:hAnsi="Calibri" w:cs="Calibri"/>
        </w:rPr>
        <w:t xml:space="preserve"> </w:t>
      </w:r>
      <w:r w:rsidRPr="00D7407F">
        <w:rPr>
          <w:rFonts w:ascii="Calibri" w:hAnsi="Calibri" w:cs="Calibri"/>
        </w:rPr>
        <w:t xml:space="preserve">Investors who flocked to money market funds and CDs offering </w:t>
      </w:r>
      <w:r w:rsidR="00EB04D5" w:rsidRPr="00D7407F">
        <w:rPr>
          <w:rFonts w:ascii="Calibri" w:hAnsi="Calibri" w:cs="Calibri"/>
        </w:rPr>
        <w:t>slightly above</w:t>
      </w:r>
      <w:r w:rsidRPr="00D7407F">
        <w:rPr>
          <w:rFonts w:ascii="Calibri" w:hAnsi="Calibri" w:cs="Calibri"/>
        </w:rPr>
        <w:t xml:space="preserve"> 5% are</w:t>
      </w:r>
      <w:r w:rsidR="00C7351C" w:rsidRPr="00D7407F">
        <w:rPr>
          <w:rFonts w:ascii="Calibri" w:hAnsi="Calibri" w:cs="Calibri"/>
        </w:rPr>
        <w:t xml:space="preserve"> transitioning to </w:t>
      </w:r>
      <w:r w:rsidR="00E64467" w:rsidRPr="00D7407F">
        <w:rPr>
          <w:rFonts w:ascii="Calibri" w:hAnsi="Calibri" w:cs="Calibri"/>
        </w:rPr>
        <w:t>bonds in order to lock</w:t>
      </w:r>
      <w:r w:rsidR="009E6B6E" w:rsidRPr="00D7407F">
        <w:rPr>
          <w:rFonts w:ascii="Calibri" w:hAnsi="Calibri" w:cs="Calibri"/>
        </w:rPr>
        <w:t>-</w:t>
      </w:r>
      <w:r w:rsidR="00C7351C" w:rsidRPr="00D7407F">
        <w:rPr>
          <w:rFonts w:ascii="Calibri" w:hAnsi="Calibri" w:cs="Calibri"/>
        </w:rPr>
        <w:t xml:space="preserve">up higher interest rates for longer before both </w:t>
      </w:r>
      <w:r w:rsidR="00B64C24" w:rsidRPr="00D7407F">
        <w:rPr>
          <w:rFonts w:ascii="Calibri" w:hAnsi="Calibri" w:cs="Calibri"/>
        </w:rPr>
        <w:t>short- and long-term</w:t>
      </w:r>
      <w:r w:rsidR="00C7351C" w:rsidRPr="00D7407F">
        <w:rPr>
          <w:rFonts w:ascii="Calibri" w:hAnsi="Calibri" w:cs="Calibri"/>
        </w:rPr>
        <w:t xml:space="preserve"> </w:t>
      </w:r>
      <w:r w:rsidR="00EB04D5" w:rsidRPr="00D7407F">
        <w:rPr>
          <w:rFonts w:ascii="Calibri" w:hAnsi="Calibri" w:cs="Calibri"/>
        </w:rPr>
        <w:t>yields</w:t>
      </w:r>
      <w:r w:rsidR="00C7351C" w:rsidRPr="00D7407F">
        <w:rPr>
          <w:rFonts w:ascii="Calibri" w:hAnsi="Calibri" w:cs="Calibri"/>
        </w:rPr>
        <w:t xml:space="preserve"> drop</w:t>
      </w:r>
      <w:r w:rsidR="00B45101" w:rsidRPr="00D7407F">
        <w:rPr>
          <w:rFonts w:ascii="Calibri" w:hAnsi="Calibri" w:cs="Calibri"/>
        </w:rPr>
        <w:t xml:space="preserve"> further</w:t>
      </w:r>
      <w:r w:rsidR="00C7351C" w:rsidRPr="00D7407F">
        <w:rPr>
          <w:rFonts w:ascii="Calibri" w:hAnsi="Calibri" w:cs="Calibri"/>
        </w:rPr>
        <w:t>.</w:t>
      </w:r>
      <w:r w:rsidR="000D6E91" w:rsidRPr="00D7407F">
        <w:rPr>
          <w:rFonts w:ascii="Calibri" w:hAnsi="Calibri" w:cs="Calibri"/>
        </w:rPr>
        <w:t xml:space="preserve"> </w:t>
      </w:r>
      <w:r w:rsidR="00B45101" w:rsidRPr="00D7407F">
        <w:rPr>
          <w:rFonts w:ascii="Calibri" w:hAnsi="Calibri" w:cs="Calibri"/>
        </w:rPr>
        <w:t>Unlike money market instruments, w</w:t>
      </w:r>
      <w:r w:rsidR="00C7351C" w:rsidRPr="00D7407F">
        <w:rPr>
          <w:rFonts w:ascii="Calibri" w:hAnsi="Calibri" w:cs="Calibri"/>
        </w:rPr>
        <w:t xml:space="preserve">hen interest rates fall, bonds </w:t>
      </w:r>
      <w:r w:rsidR="00B45101" w:rsidRPr="00D7407F">
        <w:rPr>
          <w:rFonts w:ascii="Calibri" w:hAnsi="Calibri" w:cs="Calibri"/>
        </w:rPr>
        <w:t xml:space="preserve">historically </w:t>
      </w:r>
      <w:r w:rsidR="00C7351C" w:rsidRPr="00D7407F">
        <w:rPr>
          <w:rFonts w:ascii="Calibri" w:hAnsi="Calibri" w:cs="Calibri"/>
        </w:rPr>
        <w:t>appreciate substantially</w:t>
      </w:r>
      <w:r w:rsidR="00B45101" w:rsidRPr="00D7407F">
        <w:rPr>
          <w:rFonts w:ascii="Calibri" w:hAnsi="Calibri" w:cs="Calibri"/>
        </w:rPr>
        <w:t>.</w:t>
      </w:r>
      <w:r w:rsidR="000949D0" w:rsidRPr="00D7407F">
        <w:rPr>
          <w:rFonts w:ascii="Calibri" w:hAnsi="Calibri" w:cs="Calibri"/>
        </w:rPr>
        <w:t xml:space="preserve"> </w:t>
      </w:r>
      <w:r w:rsidR="00B45101" w:rsidRPr="00D7407F">
        <w:rPr>
          <w:rFonts w:ascii="Calibri" w:hAnsi="Calibri" w:cs="Calibri"/>
        </w:rPr>
        <w:t>Although Chairman Powell has articulated that he does not want to send signals on any date regarding Fed policy,</w:t>
      </w:r>
      <w:r w:rsidR="00BD78EA" w:rsidRPr="00D7407F">
        <w:rPr>
          <w:rFonts w:ascii="Calibri" w:hAnsi="Calibri" w:cs="Calibri"/>
        </w:rPr>
        <w:t xml:space="preserve"> </w:t>
      </w:r>
      <w:r w:rsidR="00B50368" w:rsidRPr="00D7407F">
        <w:rPr>
          <w:rFonts w:ascii="Calibri" w:hAnsi="Calibri" w:cs="Calibri"/>
        </w:rPr>
        <w:t>Wharton Finance Professor</w:t>
      </w:r>
      <w:r w:rsidR="002F2862" w:rsidRPr="00D7407F">
        <w:rPr>
          <w:rFonts w:ascii="Calibri" w:hAnsi="Calibri" w:cs="Calibri"/>
        </w:rPr>
        <w:t xml:space="preserve"> </w:t>
      </w:r>
      <w:r w:rsidR="00B50368" w:rsidRPr="00D7407F">
        <w:rPr>
          <w:rFonts w:ascii="Calibri" w:hAnsi="Calibri" w:cs="Calibri"/>
        </w:rPr>
        <w:t>Jeremy S</w:t>
      </w:r>
      <w:r w:rsidR="002A0373" w:rsidRPr="00D7407F">
        <w:rPr>
          <w:rFonts w:ascii="Calibri" w:hAnsi="Calibri" w:cs="Calibri"/>
        </w:rPr>
        <w:t>ie</w:t>
      </w:r>
      <w:r w:rsidR="00B50368" w:rsidRPr="00D7407F">
        <w:rPr>
          <w:rFonts w:ascii="Calibri" w:hAnsi="Calibri" w:cs="Calibri"/>
        </w:rPr>
        <w:t>gel</w:t>
      </w:r>
      <w:r w:rsidR="00F1137E" w:rsidRPr="00D7407F">
        <w:rPr>
          <w:rFonts w:ascii="Calibri" w:hAnsi="Calibri" w:cs="Calibri"/>
        </w:rPr>
        <w:t xml:space="preserve"> strongly suggests that </w:t>
      </w:r>
      <w:r w:rsidR="00BD78EA" w:rsidRPr="00D7407F">
        <w:rPr>
          <w:rFonts w:ascii="Calibri" w:hAnsi="Calibri" w:cs="Calibri"/>
        </w:rPr>
        <w:t>Chairman Powell</w:t>
      </w:r>
      <w:r w:rsidR="00F1137E" w:rsidRPr="00D7407F">
        <w:rPr>
          <w:rFonts w:ascii="Calibri" w:hAnsi="Calibri" w:cs="Calibri"/>
        </w:rPr>
        <w:t xml:space="preserve"> notice the public at the</w:t>
      </w:r>
      <w:r w:rsidR="000D6E91" w:rsidRPr="00D7407F">
        <w:rPr>
          <w:rFonts w:ascii="Calibri" w:hAnsi="Calibri" w:cs="Calibri"/>
        </w:rPr>
        <w:t xml:space="preserve"> next meeting in </w:t>
      </w:r>
      <w:r w:rsidR="00F1137E" w:rsidRPr="00D7407F">
        <w:rPr>
          <w:rFonts w:ascii="Calibri" w:hAnsi="Calibri" w:cs="Calibri"/>
        </w:rPr>
        <w:t>July of</w:t>
      </w:r>
      <w:r w:rsidR="00BD78EA" w:rsidRPr="00D7407F">
        <w:rPr>
          <w:rFonts w:ascii="Calibri" w:hAnsi="Calibri" w:cs="Calibri"/>
        </w:rPr>
        <w:t xml:space="preserve"> the Federal Reserve’s</w:t>
      </w:r>
      <w:r w:rsidR="00F1137E" w:rsidRPr="00D7407F">
        <w:rPr>
          <w:rFonts w:ascii="Calibri" w:hAnsi="Calibri" w:cs="Calibri"/>
        </w:rPr>
        <w:t xml:space="preserve"> intent to lower interest rates </w:t>
      </w:r>
      <w:r w:rsidR="000D6E91" w:rsidRPr="00D7407F">
        <w:rPr>
          <w:rFonts w:ascii="Calibri" w:hAnsi="Calibri" w:cs="Calibri"/>
        </w:rPr>
        <w:t>during the Fed’s</w:t>
      </w:r>
      <w:r w:rsidR="00F1137E" w:rsidRPr="00D7407F">
        <w:rPr>
          <w:rFonts w:ascii="Calibri" w:hAnsi="Calibri" w:cs="Calibri"/>
        </w:rPr>
        <w:t xml:space="preserve"> September</w:t>
      </w:r>
      <w:r w:rsidR="000D6E91" w:rsidRPr="00D7407F">
        <w:rPr>
          <w:rFonts w:ascii="Calibri" w:hAnsi="Calibri" w:cs="Calibri"/>
        </w:rPr>
        <w:t xml:space="preserve"> meeting</w:t>
      </w:r>
      <w:r w:rsidR="00BD78EA" w:rsidRPr="00D7407F">
        <w:rPr>
          <w:rFonts w:ascii="Calibri" w:hAnsi="Calibri" w:cs="Calibri"/>
        </w:rPr>
        <w:t>,</w:t>
      </w:r>
      <w:r w:rsidR="00F1137E" w:rsidRPr="00D7407F">
        <w:rPr>
          <w:rFonts w:ascii="Calibri" w:hAnsi="Calibri" w:cs="Calibri"/>
        </w:rPr>
        <w:t xml:space="preserve"> if not sooner. </w:t>
      </w:r>
      <w:r w:rsidR="000949D0" w:rsidRPr="00D7407F">
        <w:rPr>
          <w:rFonts w:ascii="Calibri" w:hAnsi="Calibri" w:cs="Calibri"/>
        </w:rPr>
        <w:t>Due to</w:t>
      </w:r>
      <w:r w:rsidR="00F1137E" w:rsidRPr="00D7407F">
        <w:rPr>
          <w:rFonts w:ascii="Calibri" w:hAnsi="Calibri" w:cs="Calibri"/>
        </w:rPr>
        <w:t xml:space="preserve"> unemployment</w:t>
      </w:r>
      <w:r w:rsidR="00EB1680" w:rsidRPr="00D7407F">
        <w:rPr>
          <w:rFonts w:ascii="Calibri" w:hAnsi="Calibri" w:cs="Calibri"/>
        </w:rPr>
        <w:t xml:space="preserve"> increasing </w:t>
      </w:r>
      <w:r w:rsidR="00F1137E" w:rsidRPr="00D7407F">
        <w:rPr>
          <w:rFonts w:ascii="Calibri" w:hAnsi="Calibri" w:cs="Calibri"/>
        </w:rPr>
        <w:t xml:space="preserve">by more than </w:t>
      </w:r>
      <w:r w:rsidR="002A0373" w:rsidRPr="00D7407F">
        <w:rPr>
          <w:rFonts w:ascii="Calibri" w:hAnsi="Calibri" w:cs="Calibri"/>
        </w:rPr>
        <w:t>0.5%</w:t>
      </w:r>
      <w:r w:rsidR="00F1137E" w:rsidRPr="00D7407F">
        <w:rPr>
          <w:rFonts w:ascii="Calibri" w:hAnsi="Calibri" w:cs="Calibri"/>
        </w:rPr>
        <w:t xml:space="preserve">, </w:t>
      </w:r>
      <w:r w:rsidR="00B45101" w:rsidRPr="00D7407F">
        <w:rPr>
          <w:rFonts w:ascii="Calibri" w:hAnsi="Calibri" w:cs="Calibri"/>
        </w:rPr>
        <w:t>S</w:t>
      </w:r>
      <w:r w:rsidR="002A0373" w:rsidRPr="00D7407F">
        <w:rPr>
          <w:rFonts w:ascii="Calibri" w:hAnsi="Calibri" w:cs="Calibri"/>
        </w:rPr>
        <w:t>ie</w:t>
      </w:r>
      <w:r w:rsidR="00B45101" w:rsidRPr="00D7407F">
        <w:rPr>
          <w:rFonts w:ascii="Calibri" w:hAnsi="Calibri" w:cs="Calibri"/>
        </w:rPr>
        <w:t xml:space="preserve">gel </w:t>
      </w:r>
      <w:r w:rsidR="00BD78EA" w:rsidRPr="00D7407F">
        <w:rPr>
          <w:rFonts w:ascii="Calibri" w:hAnsi="Calibri" w:cs="Calibri"/>
        </w:rPr>
        <w:t>advocates</w:t>
      </w:r>
      <w:r w:rsidR="00F1137E" w:rsidRPr="00D7407F">
        <w:rPr>
          <w:rFonts w:ascii="Calibri" w:hAnsi="Calibri" w:cs="Calibri"/>
        </w:rPr>
        <w:t xml:space="preserve"> this is sufficient </w:t>
      </w:r>
      <w:r w:rsidR="00BD78EA" w:rsidRPr="00D7407F">
        <w:rPr>
          <w:rFonts w:ascii="Calibri" w:hAnsi="Calibri" w:cs="Calibri"/>
        </w:rPr>
        <w:t xml:space="preserve">warning that lowering rates sooner than later is in our economy’s best interest </w:t>
      </w:r>
      <w:r w:rsidR="000949D0" w:rsidRPr="00D7407F">
        <w:rPr>
          <w:rFonts w:ascii="Calibri" w:hAnsi="Calibri" w:cs="Calibri"/>
        </w:rPr>
        <w:t>to</w:t>
      </w:r>
      <w:r w:rsidR="00BD78EA" w:rsidRPr="00D7407F">
        <w:rPr>
          <w:rFonts w:ascii="Calibri" w:hAnsi="Calibri" w:cs="Calibri"/>
        </w:rPr>
        <w:t xml:space="preserve"> avoid</w:t>
      </w:r>
      <w:r w:rsidR="000949D0" w:rsidRPr="00D7407F">
        <w:rPr>
          <w:rFonts w:ascii="Calibri" w:hAnsi="Calibri" w:cs="Calibri"/>
        </w:rPr>
        <w:t xml:space="preserve"> </w:t>
      </w:r>
      <w:r w:rsidR="00BD78EA" w:rsidRPr="00D7407F">
        <w:rPr>
          <w:rFonts w:ascii="Calibri" w:hAnsi="Calibri" w:cs="Calibri"/>
        </w:rPr>
        <w:t>a recession.</w:t>
      </w:r>
      <w:r w:rsidR="00D0678D" w:rsidRPr="00D7407F">
        <w:rPr>
          <w:rFonts w:ascii="Calibri" w:hAnsi="Calibri" w:cs="Calibri"/>
        </w:rPr>
        <w:t xml:space="preserve"> A</w:t>
      </w:r>
      <w:r w:rsidR="00B45101" w:rsidRPr="00D7407F">
        <w:rPr>
          <w:rFonts w:ascii="Calibri" w:hAnsi="Calibri" w:cs="Calibri"/>
        </w:rPr>
        <w:t xml:space="preserve">nother </w:t>
      </w:r>
      <w:r w:rsidR="000949D0" w:rsidRPr="00D7407F">
        <w:rPr>
          <w:rFonts w:ascii="Calibri" w:hAnsi="Calibri" w:cs="Calibri"/>
        </w:rPr>
        <w:t>dominant</w:t>
      </w:r>
      <w:r w:rsidR="00B45101" w:rsidRPr="00D7407F">
        <w:rPr>
          <w:rFonts w:ascii="Calibri" w:hAnsi="Calibri" w:cs="Calibri"/>
        </w:rPr>
        <w:t xml:space="preserve"> </w:t>
      </w:r>
      <w:r w:rsidR="00D0678D" w:rsidRPr="00D7407F">
        <w:rPr>
          <w:rFonts w:ascii="Calibri" w:hAnsi="Calibri" w:cs="Calibri"/>
        </w:rPr>
        <w:t>factor influencing bond prices is the amount of debt issued</w:t>
      </w:r>
      <w:r w:rsidR="00EB1680" w:rsidRPr="00D7407F">
        <w:rPr>
          <w:rFonts w:ascii="Calibri" w:hAnsi="Calibri" w:cs="Calibri"/>
        </w:rPr>
        <w:t xml:space="preserve"> </w:t>
      </w:r>
      <w:r w:rsidR="000D6E91" w:rsidRPr="00D7407F">
        <w:rPr>
          <w:rFonts w:ascii="Calibri" w:hAnsi="Calibri" w:cs="Calibri"/>
        </w:rPr>
        <w:t>by</w:t>
      </w:r>
      <w:r w:rsidR="00D0678D" w:rsidRPr="00D7407F">
        <w:rPr>
          <w:rFonts w:ascii="Calibri" w:hAnsi="Calibri" w:cs="Calibri"/>
        </w:rPr>
        <w:t xml:space="preserve"> the U.S. Treasury.  Professor S</w:t>
      </w:r>
      <w:r w:rsidR="002A0373" w:rsidRPr="00D7407F">
        <w:rPr>
          <w:rFonts w:ascii="Calibri" w:hAnsi="Calibri" w:cs="Calibri"/>
        </w:rPr>
        <w:t>ie</w:t>
      </w:r>
      <w:r w:rsidR="00D0678D" w:rsidRPr="00D7407F">
        <w:rPr>
          <w:rFonts w:ascii="Calibri" w:hAnsi="Calibri" w:cs="Calibri"/>
        </w:rPr>
        <w:t xml:space="preserve">gel is </w:t>
      </w:r>
      <w:r w:rsidR="00B50368" w:rsidRPr="00D7407F">
        <w:rPr>
          <w:rFonts w:ascii="Calibri" w:hAnsi="Calibri" w:cs="Calibri"/>
        </w:rPr>
        <w:t xml:space="preserve">not </w:t>
      </w:r>
      <w:r w:rsidR="00D0678D" w:rsidRPr="00D7407F">
        <w:rPr>
          <w:rFonts w:ascii="Calibri" w:hAnsi="Calibri" w:cs="Calibri"/>
        </w:rPr>
        <w:t>concerned</w:t>
      </w:r>
      <w:r w:rsidR="00B50368" w:rsidRPr="00D7407F">
        <w:rPr>
          <w:rFonts w:ascii="Calibri" w:hAnsi="Calibri" w:cs="Calibri"/>
        </w:rPr>
        <w:t xml:space="preserve"> about debt trends</w:t>
      </w:r>
      <w:r w:rsidR="00EB1680" w:rsidRPr="00D7407F">
        <w:rPr>
          <w:rFonts w:ascii="Calibri" w:hAnsi="Calibri" w:cs="Calibri"/>
        </w:rPr>
        <w:t xml:space="preserve"> for the next few years</w:t>
      </w:r>
      <w:r w:rsidR="00B50368" w:rsidRPr="00D7407F">
        <w:rPr>
          <w:rFonts w:ascii="Calibri" w:hAnsi="Calibri" w:cs="Calibri"/>
        </w:rPr>
        <w:t xml:space="preserve"> until </w:t>
      </w:r>
      <w:r w:rsidR="00EB1680" w:rsidRPr="00D7407F">
        <w:rPr>
          <w:rFonts w:ascii="Calibri" w:hAnsi="Calibri" w:cs="Calibri"/>
        </w:rPr>
        <w:t>mid-2030s</w:t>
      </w:r>
      <w:r w:rsidR="00B50368" w:rsidRPr="00D7407F">
        <w:rPr>
          <w:rFonts w:ascii="Calibri" w:hAnsi="Calibri" w:cs="Calibri"/>
        </w:rPr>
        <w:t xml:space="preserve"> </w:t>
      </w:r>
      <w:r w:rsidR="00D0678D" w:rsidRPr="00D7407F">
        <w:rPr>
          <w:rFonts w:ascii="Calibri" w:hAnsi="Calibri" w:cs="Calibri"/>
        </w:rPr>
        <w:t xml:space="preserve">when </w:t>
      </w:r>
      <w:r w:rsidR="000D6E91" w:rsidRPr="00D7407F">
        <w:rPr>
          <w:rFonts w:ascii="Calibri" w:hAnsi="Calibri" w:cs="Calibri"/>
        </w:rPr>
        <w:t xml:space="preserve">our sizable debt </w:t>
      </w:r>
      <w:r w:rsidR="00B50368" w:rsidRPr="00D7407F">
        <w:rPr>
          <w:rFonts w:ascii="Calibri" w:hAnsi="Calibri" w:cs="Calibri"/>
        </w:rPr>
        <w:t>start</w:t>
      </w:r>
      <w:r w:rsidR="000D6E91" w:rsidRPr="00D7407F">
        <w:rPr>
          <w:rFonts w:ascii="Calibri" w:hAnsi="Calibri" w:cs="Calibri"/>
        </w:rPr>
        <w:t>s</w:t>
      </w:r>
      <w:r w:rsidR="00B50368" w:rsidRPr="00D7407F">
        <w:rPr>
          <w:rFonts w:ascii="Calibri" w:hAnsi="Calibri" w:cs="Calibri"/>
        </w:rPr>
        <w:t xml:space="preserve"> to ramp up</w:t>
      </w:r>
      <w:r w:rsidR="00EB1680" w:rsidRPr="00D7407F">
        <w:rPr>
          <w:rFonts w:ascii="Calibri" w:hAnsi="Calibri" w:cs="Calibri"/>
        </w:rPr>
        <w:t xml:space="preserve"> faster</w:t>
      </w:r>
      <w:r w:rsidR="00B50368" w:rsidRPr="00D7407F">
        <w:rPr>
          <w:rFonts w:ascii="Calibri" w:hAnsi="Calibri" w:cs="Calibri"/>
        </w:rPr>
        <w:t xml:space="preserve">.  </w:t>
      </w:r>
      <w:r w:rsidR="000D6E91" w:rsidRPr="00D7407F">
        <w:rPr>
          <w:rFonts w:ascii="Calibri" w:hAnsi="Calibri" w:cs="Calibri"/>
        </w:rPr>
        <w:t xml:space="preserve">He says the </w:t>
      </w:r>
      <w:r w:rsidR="002A0373" w:rsidRPr="00D7407F">
        <w:rPr>
          <w:rFonts w:ascii="Calibri" w:hAnsi="Calibri" w:cs="Calibri"/>
        </w:rPr>
        <w:t>U.S.</w:t>
      </w:r>
      <w:r w:rsidR="000D6E91" w:rsidRPr="00D7407F">
        <w:rPr>
          <w:rFonts w:ascii="Calibri" w:hAnsi="Calibri" w:cs="Calibri"/>
        </w:rPr>
        <w:t xml:space="preserve"> is</w:t>
      </w:r>
      <w:r w:rsidR="00B50368" w:rsidRPr="00D7407F">
        <w:rPr>
          <w:rFonts w:ascii="Calibri" w:hAnsi="Calibri" w:cs="Calibri"/>
        </w:rPr>
        <w:t xml:space="preserve"> in </w:t>
      </w:r>
      <w:r w:rsidR="000949D0" w:rsidRPr="00D7407F">
        <w:rPr>
          <w:rFonts w:ascii="Calibri" w:hAnsi="Calibri" w:cs="Calibri"/>
        </w:rPr>
        <w:t xml:space="preserve">the </w:t>
      </w:r>
      <w:r w:rsidR="00B50368" w:rsidRPr="00D7407F">
        <w:rPr>
          <w:rFonts w:ascii="Calibri" w:hAnsi="Calibri" w:cs="Calibri"/>
        </w:rPr>
        <w:t>mid</w:t>
      </w:r>
      <w:r w:rsidR="000949D0" w:rsidRPr="00D7407F">
        <w:rPr>
          <w:rFonts w:ascii="Calibri" w:hAnsi="Calibri" w:cs="Calibri"/>
        </w:rPr>
        <w:t>-</w:t>
      </w:r>
      <w:r w:rsidR="00B50368" w:rsidRPr="00D7407F">
        <w:rPr>
          <w:rFonts w:ascii="Calibri" w:hAnsi="Calibri" w:cs="Calibri"/>
        </w:rPr>
        <w:t xml:space="preserve">range of all countries on a debt to </w:t>
      </w:r>
      <w:r w:rsidR="002A0373" w:rsidRPr="00D7407F">
        <w:rPr>
          <w:rFonts w:ascii="Calibri" w:hAnsi="Calibri" w:cs="Calibri"/>
        </w:rPr>
        <w:t>gross</w:t>
      </w:r>
      <w:r w:rsidR="00EB1680" w:rsidRPr="00D7407F">
        <w:rPr>
          <w:rFonts w:ascii="Calibri" w:hAnsi="Calibri" w:cs="Calibri"/>
        </w:rPr>
        <w:t xml:space="preserve"> </w:t>
      </w:r>
      <w:r w:rsidR="002A0373" w:rsidRPr="00D7407F">
        <w:rPr>
          <w:rFonts w:ascii="Calibri" w:hAnsi="Calibri" w:cs="Calibri"/>
        </w:rPr>
        <w:t>d</w:t>
      </w:r>
      <w:r w:rsidR="00EB1680" w:rsidRPr="00D7407F">
        <w:rPr>
          <w:rFonts w:ascii="Calibri" w:hAnsi="Calibri" w:cs="Calibri"/>
        </w:rPr>
        <w:t xml:space="preserve">omestic </w:t>
      </w:r>
      <w:r w:rsidR="002A0373" w:rsidRPr="00D7407F">
        <w:rPr>
          <w:rFonts w:ascii="Calibri" w:hAnsi="Calibri" w:cs="Calibri"/>
        </w:rPr>
        <w:t>p</w:t>
      </w:r>
      <w:r w:rsidR="00EB1680" w:rsidRPr="00D7407F">
        <w:rPr>
          <w:rFonts w:ascii="Calibri" w:hAnsi="Calibri" w:cs="Calibri"/>
        </w:rPr>
        <w:t>roduct</w:t>
      </w:r>
      <w:r w:rsidR="002A0373" w:rsidRPr="00D7407F">
        <w:rPr>
          <w:rFonts w:ascii="Calibri" w:hAnsi="Calibri" w:cs="Calibri"/>
        </w:rPr>
        <w:t xml:space="preserve"> (GDP)</w:t>
      </w:r>
      <w:r w:rsidR="00EB1680" w:rsidRPr="00D7407F">
        <w:rPr>
          <w:rFonts w:ascii="Calibri" w:hAnsi="Calibri" w:cs="Calibri"/>
        </w:rPr>
        <w:t xml:space="preserve"> </w:t>
      </w:r>
      <w:r w:rsidR="00B50368" w:rsidRPr="00D7407F">
        <w:rPr>
          <w:rFonts w:ascii="Calibri" w:hAnsi="Calibri" w:cs="Calibri"/>
        </w:rPr>
        <w:t>basi</w:t>
      </w:r>
      <w:r w:rsidR="00EB1680" w:rsidRPr="00D7407F">
        <w:rPr>
          <w:rFonts w:ascii="Calibri" w:hAnsi="Calibri" w:cs="Calibri"/>
        </w:rPr>
        <w:t>s</w:t>
      </w:r>
      <w:r w:rsidR="00B50368" w:rsidRPr="00D7407F">
        <w:rPr>
          <w:rFonts w:ascii="Calibri" w:hAnsi="Calibri" w:cs="Calibri"/>
        </w:rPr>
        <w:t xml:space="preserve">. </w:t>
      </w:r>
      <w:r w:rsidR="00EB1680" w:rsidRPr="00D7407F">
        <w:rPr>
          <w:rFonts w:ascii="Calibri" w:hAnsi="Calibri" w:cs="Calibri"/>
        </w:rPr>
        <w:t xml:space="preserve">The U.S. </w:t>
      </w:r>
      <w:r w:rsidR="002A0373" w:rsidRPr="00D7407F">
        <w:rPr>
          <w:rFonts w:ascii="Calibri" w:hAnsi="Calibri" w:cs="Calibri"/>
        </w:rPr>
        <w:t>n</w:t>
      </w:r>
      <w:r w:rsidR="00EB1680" w:rsidRPr="00D7407F">
        <w:rPr>
          <w:rFonts w:ascii="Calibri" w:hAnsi="Calibri" w:cs="Calibri"/>
        </w:rPr>
        <w:t xml:space="preserve">ational </w:t>
      </w:r>
      <w:r w:rsidR="002A0373" w:rsidRPr="00D7407F">
        <w:rPr>
          <w:rFonts w:ascii="Calibri" w:hAnsi="Calibri" w:cs="Calibri"/>
        </w:rPr>
        <w:t>d</w:t>
      </w:r>
      <w:r w:rsidR="00EB1680" w:rsidRPr="00D7407F">
        <w:rPr>
          <w:rFonts w:ascii="Calibri" w:hAnsi="Calibri" w:cs="Calibri"/>
        </w:rPr>
        <w:t xml:space="preserve">ebt is almost $35 trillion, </w:t>
      </w:r>
      <w:r w:rsidR="00B45101" w:rsidRPr="00D7407F">
        <w:rPr>
          <w:rFonts w:ascii="Calibri" w:hAnsi="Calibri" w:cs="Calibri"/>
        </w:rPr>
        <w:t>translating</w:t>
      </w:r>
      <w:r w:rsidR="00EB1680" w:rsidRPr="00D7407F">
        <w:rPr>
          <w:rFonts w:ascii="Calibri" w:hAnsi="Calibri" w:cs="Calibri"/>
        </w:rPr>
        <w:t xml:space="preserve"> to de</w:t>
      </w:r>
      <w:r w:rsidR="00B50368" w:rsidRPr="00D7407F">
        <w:rPr>
          <w:rFonts w:ascii="Calibri" w:hAnsi="Calibri" w:cs="Calibri"/>
        </w:rPr>
        <w:t xml:space="preserve">bt per person </w:t>
      </w:r>
      <w:r w:rsidR="00EB1680" w:rsidRPr="00D7407F">
        <w:rPr>
          <w:rFonts w:ascii="Calibri" w:hAnsi="Calibri" w:cs="Calibri"/>
        </w:rPr>
        <w:t xml:space="preserve">of </w:t>
      </w:r>
      <w:r w:rsidR="00B50368" w:rsidRPr="00D7407F">
        <w:rPr>
          <w:rFonts w:ascii="Calibri" w:hAnsi="Calibri" w:cs="Calibri"/>
        </w:rPr>
        <w:t>$103,503</w:t>
      </w:r>
      <w:r w:rsidR="00EB1680" w:rsidRPr="00D7407F">
        <w:rPr>
          <w:rFonts w:ascii="Calibri" w:hAnsi="Calibri" w:cs="Calibri"/>
        </w:rPr>
        <w:t xml:space="preserve"> and d</w:t>
      </w:r>
      <w:r w:rsidR="00B50368" w:rsidRPr="00D7407F">
        <w:rPr>
          <w:rFonts w:ascii="Calibri" w:hAnsi="Calibri" w:cs="Calibri"/>
        </w:rPr>
        <w:t xml:space="preserve">ebt per taxpayer </w:t>
      </w:r>
      <w:r w:rsidR="00EB1680" w:rsidRPr="00D7407F">
        <w:rPr>
          <w:rFonts w:ascii="Calibri" w:hAnsi="Calibri" w:cs="Calibri"/>
        </w:rPr>
        <w:t xml:space="preserve">of </w:t>
      </w:r>
      <w:r w:rsidR="00B50368" w:rsidRPr="00D7407F">
        <w:rPr>
          <w:rFonts w:ascii="Calibri" w:hAnsi="Calibri" w:cs="Calibri"/>
        </w:rPr>
        <w:t>$266,953.</w:t>
      </w:r>
      <w:r w:rsidR="00EB1680" w:rsidRPr="00D7407F">
        <w:rPr>
          <w:rFonts w:ascii="Calibri" w:hAnsi="Calibri" w:cs="Calibri"/>
        </w:rPr>
        <w:t xml:space="preserve">  Japan, France and many other advanced economies </w:t>
      </w:r>
      <w:r w:rsidR="00B45101" w:rsidRPr="00D7407F">
        <w:rPr>
          <w:rFonts w:ascii="Calibri" w:hAnsi="Calibri" w:cs="Calibri"/>
        </w:rPr>
        <w:t>owe much more</w:t>
      </w:r>
      <w:r w:rsidR="00EB1680" w:rsidRPr="00D7407F">
        <w:rPr>
          <w:rFonts w:ascii="Calibri" w:hAnsi="Calibri" w:cs="Calibri"/>
        </w:rPr>
        <w:t xml:space="preserve"> on a GDP basis than the U.S. To see how fast our debt is growing by the minute, it is worthwhile to visit the website, </w:t>
      </w:r>
      <w:hyperlink r:id="rId7" w:history="1">
        <w:r w:rsidR="00D5184F" w:rsidRPr="00D7407F">
          <w:rPr>
            <w:rStyle w:val="Hyperlink"/>
            <w:rFonts w:ascii="Calibri" w:hAnsi="Calibri" w:cs="Calibri"/>
            <w:color w:val="auto"/>
          </w:rPr>
          <w:t>https://usdebtclock.org./</w:t>
        </w:r>
      </w:hyperlink>
      <w:r w:rsidR="00D5184F" w:rsidRPr="00D7407F">
        <w:rPr>
          <w:rFonts w:ascii="Calibri" w:hAnsi="Calibri" w:cs="Calibri"/>
        </w:rPr>
        <w:t xml:space="preserve"> </w:t>
      </w:r>
      <w:r w:rsidR="00412364" w:rsidRPr="00D7407F">
        <w:rPr>
          <w:rFonts w:ascii="Calibri" w:hAnsi="Calibri" w:cs="Calibri"/>
        </w:rPr>
        <w:t xml:space="preserve"> With a mature economy headed for a soft landing, bonds appear to</w:t>
      </w:r>
      <w:r w:rsidR="009E6B6E" w:rsidRPr="00D7407F">
        <w:rPr>
          <w:rFonts w:ascii="Calibri" w:hAnsi="Calibri" w:cs="Calibri"/>
        </w:rPr>
        <w:t xml:space="preserve"> be</w:t>
      </w:r>
      <w:r w:rsidR="00412364" w:rsidRPr="00D7407F">
        <w:rPr>
          <w:rFonts w:ascii="Calibri" w:hAnsi="Calibri" w:cs="Calibri"/>
        </w:rPr>
        <w:t xml:space="preserve"> a timely investment.</w:t>
      </w:r>
      <w:r w:rsidR="00B33F1F" w:rsidRPr="00D7407F">
        <w:rPr>
          <w:rFonts w:ascii="Calibri" w:hAnsi="Calibri" w:cs="Calibri"/>
        </w:rPr>
        <w:t xml:space="preserve"> </w:t>
      </w:r>
    </w:p>
    <w:p w14:paraId="3E14AD9D" w14:textId="77777777" w:rsidR="00AF444A" w:rsidRPr="00D7407F" w:rsidRDefault="00AF444A" w:rsidP="00D7407F">
      <w:pPr>
        <w:pStyle w:val="NoSpacing"/>
        <w:rPr>
          <w:rFonts w:ascii="Calibri" w:hAnsi="Calibri" w:cs="Calibri"/>
        </w:rPr>
      </w:pPr>
    </w:p>
    <w:p w14:paraId="1C0ECDEF" w14:textId="4AE4023E" w:rsidR="000C7ADA" w:rsidRPr="00D7407F" w:rsidRDefault="00C57B8C" w:rsidP="00D7407F">
      <w:pPr>
        <w:pStyle w:val="NoSpacing"/>
        <w:rPr>
          <w:rFonts w:ascii="Calibri" w:hAnsi="Calibri" w:cs="Calibri"/>
        </w:rPr>
      </w:pPr>
      <w:bookmarkStart w:id="0" w:name="_Hlk171576710"/>
      <w:bookmarkStart w:id="1" w:name="_Hlk171576626"/>
      <w:r w:rsidRPr="00D7407F">
        <w:rPr>
          <w:rFonts w:ascii="Calibri" w:hAnsi="Calibri" w:cs="Calibri"/>
        </w:rPr>
        <w:t xml:space="preserve">Investors </w:t>
      </w:r>
      <w:r w:rsidR="00DF63D2" w:rsidRPr="00D7407F">
        <w:rPr>
          <w:rFonts w:ascii="Calibri" w:hAnsi="Calibri" w:cs="Calibri"/>
        </w:rPr>
        <w:t>are already</w:t>
      </w:r>
      <w:r w:rsidRPr="00D7407F">
        <w:rPr>
          <w:rFonts w:ascii="Calibri" w:hAnsi="Calibri" w:cs="Calibri"/>
        </w:rPr>
        <w:t xml:space="preserve"> closely anticipating and reacting to both the September 18</w:t>
      </w:r>
      <w:r w:rsidR="00177C26" w:rsidRPr="00D7407F">
        <w:rPr>
          <w:rFonts w:ascii="Calibri" w:hAnsi="Calibri" w:cs="Calibri"/>
        </w:rPr>
        <w:t>th</w:t>
      </w:r>
      <w:r w:rsidRPr="00D7407F">
        <w:rPr>
          <w:rFonts w:ascii="Calibri" w:hAnsi="Calibri" w:cs="Calibri"/>
        </w:rPr>
        <w:t xml:space="preserve"> Fed</w:t>
      </w:r>
      <w:r w:rsidR="00FA3067" w:rsidRPr="00D7407F">
        <w:rPr>
          <w:rFonts w:ascii="Calibri" w:hAnsi="Calibri" w:cs="Calibri"/>
        </w:rPr>
        <w:t>eral Reserve</w:t>
      </w:r>
      <w:r w:rsidRPr="00D7407F">
        <w:rPr>
          <w:rFonts w:ascii="Calibri" w:hAnsi="Calibri" w:cs="Calibri"/>
        </w:rPr>
        <w:t xml:space="preserve"> meeting</w:t>
      </w:r>
      <w:r w:rsidR="00FA3067" w:rsidRPr="00D7407F">
        <w:rPr>
          <w:rFonts w:ascii="Calibri" w:hAnsi="Calibri" w:cs="Calibri"/>
        </w:rPr>
        <w:t xml:space="preserve"> when</w:t>
      </w:r>
      <w:r w:rsidR="0088455E" w:rsidRPr="00D7407F">
        <w:rPr>
          <w:rFonts w:ascii="Calibri" w:hAnsi="Calibri" w:cs="Calibri"/>
        </w:rPr>
        <w:t xml:space="preserve"> </w:t>
      </w:r>
      <w:r w:rsidRPr="00D7407F">
        <w:rPr>
          <w:rFonts w:ascii="Calibri" w:hAnsi="Calibri" w:cs="Calibri"/>
        </w:rPr>
        <w:t>the first interest rate cut</w:t>
      </w:r>
      <w:r w:rsidR="0088455E" w:rsidRPr="00D7407F">
        <w:rPr>
          <w:rFonts w:ascii="Calibri" w:hAnsi="Calibri" w:cs="Calibri"/>
        </w:rPr>
        <w:t xml:space="preserve"> is expected</w:t>
      </w:r>
      <w:r w:rsidR="00E64467" w:rsidRPr="00D7407F">
        <w:rPr>
          <w:rFonts w:ascii="Calibri" w:hAnsi="Calibri" w:cs="Calibri"/>
        </w:rPr>
        <w:t xml:space="preserve"> </w:t>
      </w:r>
      <w:r w:rsidRPr="00D7407F">
        <w:rPr>
          <w:rFonts w:ascii="Calibri" w:hAnsi="Calibri" w:cs="Calibri"/>
        </w:rPr>
        <w:t xml:space="preserve">and </w:t>
      </w:r>
      <w:r w:rsidR="00E64467" w:rsidRPr="00D7407F">
        <w:rPr>
          <w:rFonts w:ascii="Calibri" w:hAnsi="Calibri" w:cs="Calibri"/>
        </w:rPr>
        <w:t>November 5</w:t>
      </w:r>
      <w:r w:rsidR="00177C26" w:rsidRPr="00D7407F">
        <w:rPr>
          <w:rFonts w:ascii="Calibri" w:hAnsi="Calibri" w:cs="Calibri"/>
        </w:rPr>
        <w:t>th</w:t>
      </w:r>
      <w:r w:rsidRPr="00D7407F">
        <w:rPr>
          <w:rFonts w:ascii="Calibri" w:hAnsi="Calibri" w:cs="Calibri"/>
        </w:rPr>
        <w:t>, the day of</w:t>
      </w:r>
      <w:r w:rsidR="00177C26" w:rsidRPr="00D7407F">
        <w:rPr>
          <w:rFonts w:ascii="Calibri" w:hAnsi="Calibri" w:cs="Calibri"/>
        </w:rPr>
        <w:t xml:space="preserve"> </w:t>
      </w:r>
      <w:r w:rsidR="009D6636" w:rsidRPr="00D7407F">
        <w:rPr>
          <w:rFonts w:ascii="Calibri" w:hAnsi="Calibri" w:cs="Calibri"/>
        </w:rPr>
        <w:t xml:space="preserve">U.S. </w:t>
      </w:r>
      <w:r w:rsidR="00DF63D2" w:rsidRPr="00D7407F">
        <w:rPr>
          <w:rFonts w:ascii="Calibri" w:hAnsi="Calibri" w:cs="Calibri"/>
        </w:rPr>
        <w:t>g</w:t>
      </w:r>
      <w:r w:rsidR="009D6636" w:rsidRPr="00D7407F">
        <w:rPr>
          <w:rFonts w:ascii="Calibri" w:hAnsi="Calibri" w:cs="Calibri"/>
        </w:rPr>
        <w:t>e</w:t>
      </w:r>
      <w:r w:rsidRPr="00D7407F">
        <w:rPr>
          <w:rFonts w:ascii="Calibri" w:hAnsi="Calibri" w:cs="Calibri"/>
        </w:rPr>
        <w:t xml:space="preserve">neral </w:t>
      </w:r>
      <w:r w:rsidR="00DF63D2" w:rsidRPr="00D7407F">
        <w:rPr>
          <w:rFonts w:ascii="Calibri" w:hAnsi="Calibri" w:cs="Calibri"/>
        </w:rPr>
        <w:t>e</w:t>
      </w:r>
      <w:r w:rsidRPr="00D7407F">
        <w:rPr>
          <w:rFonts w:ascii="Calibri" w:hAnsi="Calibri" w:cs="Calibri"/>
        </w:rPr>
        <w:t>lections</w:t>
      </w:r>
      <w:r w:rsidR="0088455E" w:rsidRPr="00D7407F">
        <w:rPr>
          <w:rFonts w:ascii="Calibri" w:hAnsi="Calibri" w:cs="Calibri"/>
        </w:rPr>
        <w:t>, to better understand America’s future direction</w:t>
      </w:r>
      <w:r w:rsidR="00E64467" w:rsidRPr="00D7407F">
        <w:rPr>
          <w:rFonts w:ascii="Calibri" w:hAnsi="Calibri" w:cs="Calibri"/>
        </w:rPr>
        <w:t>.</w:t>
      </w:r>
      <w:r w:rsidR="00177C26" w:rsidRPr="00D7407F">
        <w:rPr>
          <w:rFonts w:ascii="Calibri" w:hAnsi="Calibri" w:cs="Calibri"/>
        </w:rPr>
        <w:t xml:space="preserve"> Ultimately</w:t>
      </w:r>
      <w:r w:rsidR="009D6636" w:rsidRPr="00D7407F">
        <w:rPr>
          <w:rFonts w:ascii="Calibri" w:hAnsi="Calibri" w:cs="Calibri"/>
        </w:rPr>
        <w:t>,</w:t>
      </w:r>
      <w:r w:rsidR="00177C26" w:rsidRPr="00D7407F">
        <w:rPr>
          <w:rFonts w:ascii="Calibri" w:hAnsi="Calibri" w:cs="Calibri"/>
        </w:rPr>
        <w:t xml:space="preserve"> the economy and corporate earnings </w:t>
      </w:r>
      <w:r w:rsidR="0088455E" w:rsidRPr="00D7407F">
        <w:rPr>
          <w:rFonts w:ascii="Calibri" w:hAnsi="Calibri" w:cs="Calibri"/>
        </w:rPr>
        <w:t>have shown to</w:t>
      </w:r>
      <w:r w:rsidR="009D6636" w:rsidRPr="00D7407F">
        <w:rPr>
          <w:rFonts w:ascii="Calibri" w:hAnsi="Calibri" w:cs="Calibri"/>
        </w:rPr>
        <w:t xml:space="preserve"> matter</w:t>
      </w:r>
      <w:r w:rsidR="00177C26" w:rsidRPr="00D7407F">
        <w:rPr>
          <w:rFonts w:ascii="Calibri" w:hAnsi="Calibri" w:cs="Calibri"/>
        </w:rPr>
        <w:t xml:space="preserve"> more than election results.</w:t>
      </w:r>
      <w:r w:rsidR="00B33F1F" w:rsidRPr="00D7407F">
        <w:rPr>
          <w:rFonts w:ascii="Calibri" w:hAnsi="Calibri" w:cs="Calibri"/>
        </w:rPr>
        <w:t xml:space="preserve"> Higher energy prices or other unforeseen events could delay rate cuts but not deter the Fed from </w:t>
      </w:r>
      <w:r w:rsidR="000949D0" w:rsidRPr="00D7407F">
        <w:rPr>
          <w:rFonts w:ascii="Calibri" w:hAnsi="Calibri" w:cs="Calibri"/>
        </w:rPr>
        <w:t xml:space="preserve">further pursuing </w:t>
      </w:r>
      <w:r w:rsidR="00B33F1F" w:rsidRPr="00D7407F">
        <w:rPr>
          <w:rFonts w:ascii="Calibri" w:hAnsi="Calibri" w:cs="Calibri"/>
        </w:rPr>
        <w:t xml:space="preserve">its </w:t>
      </w:r>
      <w:r w:rsidR="0088455E" w:rsidRPr="00D7407F">
        <w:rPr>
          <w:rFonts w:ascii="Calibri" w:hAnsi="Calibri" w:cs="Calibri"/>
        </w:rPr>
        <w:t xml:space="preserve">dual </w:t>
      </w:r>
      <w:r w:rsidR="00B33F1F" w:rsidRPr="00D7407F">
        <w:rPr>
          <w:rFonts w:ascii="Calibri" w:hAnsi="Calibri" w:cs="Calibri"/>
        </w:rPr>
        <w:t xml:space="preserve">mandate. </w:t>
      </w:r>
      <w:r w:rsidRPr="00D7407F">
        <w:rPr>
          <w:rFonts w:ascii="Calibri" w:hAnsi="Calibri" w:cs="Calibri"/>
        </w:rPr>
        <w:t>Two tailwind</w:t>
      </w:r>
      <w:r w:rsidR="00177C26" w:rsidRPr="00D7407F">
        <w:rPr>
          <w:rFonts w:ascii="Calibri" w:hAnsi="Calibri" w:cs="Calibri"/>
        </w:rPr>
        <w:t xml:space="preserve">s </w:t>
      </w:r>
      <w:r w:rsidR="00DF63D2" w:rsidRPr="00D7407F">
        <w:rPr>
          <w:rFonts w:ascii="Calibri" w:hAnsi="Calibri" w:cs="Calibri"/>
        </w:rPr>
        <w:t>will</w:t>
      </w:r>
      <w:r w:rsidR="00177C26" w:rsidRPr="00D7407F">
        <w:rPr>
          <w:rFonts w:ascii="Calibri" w:hAnsi="Calibri" w:cs="Calibri"/>
        </w:rPr>
        <w:t xml:space="preserve"> help investors</w:t>
      </w:r>
      <w:r w:rsidR="00DF63D2" w:rsidRPr="00D7407F">
        <w:rPr>
          <w:rFonts w:ascii="Calibri" w:hAnsi="Calibri" w:cs="Calibri"/>
        </w:rPr>
        <w:t>,</w:t>
      </w:r>
      <w:r w:rsidRPr="00D7407F">
        <w:rPr>
          <w:rFonts w:ascii="Calibri" w:hAnsi="Calibri" w:cs="Calibri"/>
        </w:rPr>
        <w:t xml:space="preserve"> rising earnings and expanding profit margins</w:t>
      </w:r>
      <w:r w:rsidR="00177C26" w:rsidRPr="00D7407F">
        <w:rPr>
          <w:rFonts w:ascii="Calibri" w:hAnsi="Calibri" w:cs="Calibri"/>
        </w:rPr>
        <w:t>. More companies are expected to benefit from these trends, meaning positive implications for patient investors.</w:t>
      </w:r>
      <w:r w:rsidR="00B33F1F" w:rsidRPr="00D7407F">
        <w:rPr>
          <w:rFonts w:ascii="Calibri" w:hAnsi="Calibri" w:cs="Calibri"/>
        </w:rPr>
        <w:t xml:space="preserve"> Artificial intelligence has </w:t>
      </w:r>
      <w:r w:rsidR="0088455E" w:rsidRPr="00D7407F">
        <w:rPr>
          <w:rFonts w:ascii="Calibri" w:hAnsi="Calibri" w:cs="Calibri"/>
        </w:rPr>
        <w:t>far-reaching lon</w:t>
      </w:r>
      <w:r w:rsidR="00B33F1F" w:rsidRPr="00D7407F">
        <w:rPr>
          <w:rFonts w:ascii="Calibri" w:hAnsi="Calibri" w:cs="Calibri"/>
        </w:rPr>
        <w:t xml:space="preserve">g-term economic implications, but history has shown that every </w:t>
      </w:r>
      <w:r w:rsidR="000C7ADA" w:rsidRPr="00D7407F">
        <w:rPr>
          <w:rFonts w:ascii="Calibri" w:hAnsi="Calibri" w:cs="Calibri"/>
        </w:rPr>
        <w:t xml:space="preserve">economic story doesn’t necessarily mean an </w:t>
      </w:r>
      <w:r w:rsidR="009D6636" w:rsidRPr="00D7407F">
        <w:rPr>
          <w:rFonts w:ascii="Calibri" w:hAnsi="Calibri" w:cs="Calibri"/>
        </w:rPr>
        <w:t xml:space="preserve">equal and obvious </w:t>
      </w:r>
      <w:r w:rsidR="000C7ADA" w:rsidRPr="00D7407F">
        <w:rPr>
          <w:rFonts w:ascii="Calibri" w:hAnsi="Calibri" w:cs="Calibri"/>
        </w:rPr>
        <w:t xml:space="preserve">investment </w:t>
      </w:r>
      <w:r w:rsidR="00B33F1F" w:rsidRPr="00D7407F">
        <w:rPr>
          <w:rFonts w:ascii="Calibri" w:hAnsi="Calibri" w:cs="Calibri"/>
        </w:rPr>
        <w:t>opportunity.</w:t>
      </w:r>
      <w:r w:rsidR="009D6636" w:rsidRPr="00D7407F">
        <w:rPr>
          <w:rFonts w:ascii="Calibri" w:hAnsi="Calibri" w:cs="Calibri"/>
        </w:rPr>
        <w:t xml:space="preserve"> In the </w:t>
      </w:r>
      <w:r w:rsidR="002F2862" w:rsidRPr="00D7407F">
        <w:rPr>
          <w:rFonts w:ascii="Calibri" w:hAnsi="Calibri" w:cs="Calibri"/>
        </w:rPr>
        <w:t>short</w:t>
      </w:r>
      <w:r w:rsidR="00B64C24" w:rsidRPr="00D7407F">
        <w:rPr>
          <w:rFonts w:ascii="Calibri" w:hAnsi="Calibri" w:cs="Calibri"/>
        </w:rPr>
        <w:t>-</w:t>
      </w:r>
      <w:r w:rsidR="002F2862" w:rsidRPr="00D7407F">
        <w:rPr>
          <w:rFonts w:ascii="Calibri" w:hAnsi="Calibri" w:cs="Calibri"/>
        </w:rPr>
        <w:t>run</w:t>
      </w:r>
      <w:r w:rsidR="009D6636" w:rsidRPr="00D7407F">
        <w:rPr>
          <w:rFonts w:ascii="Calibri" w:hAnsi="Calibri" w:cs="Calibri"/>
        </w:rPr>
        <w:t>, many factors can influence market volatility in either direction as global equity markets continue to reach new all-time highs.  The Investment Counsel Company team look</w:t>
      </w:r>
      <w:r w:rsidR="0088455E" w:rsidRPr="00D7407F">
        <w:rPr>
          <w:rFonts w:ascii="Calibri" w:hAnsi="Calibri" w:cs="Calibri"/>
        </w:rPr>
        <w:t>s</w:t>
      </w:r>
      <w:r w:rsidR="009D6636" w:rsidRPr="00D7407F">
        <w:rPr>
          <w:rFonts w:ascii="Calibri" w:hAnsi="Calibri" w:cs="Calibri"/>
        </w:rPr>
        <w:t xml:space="preserve"> forward to meeting these and other challenges and opportunities on behalf of our valued clients</w:t>
      </w:r>
      <w:bookmarkEnd w:id="0"/>
      <w:r w:rsidR="009D6636" w:rsidRPr="00D7407F">
        <w:rPr>
          <w:rFonts w:ascii="Calibri" w:hAnsi="Calibri" w:cs="Calibri"/>
        </w:rPr>
        <w:t xml:space="preserve">. </w:t>
      </w:r>
    </w:p>
    <w:p w14:paraId="0B3B69DF" w14:textId="77777777" w:rsidR="00092765" w:rsidRPr="00D7407F" w:rsidRDefault="00092765" w:rsidP="00D7407F">
      <w:pPr>
        <w:pStyle w:val="NoSpacing"/>
        <w:rPr>
          <w:rFonts w:ascii="Calibri" w:hAnsi="Calibri" w:cs="Calibri"/>
        </w:rPr>
      </w:pPr>
    </w:p>
    <w:p w14:paraId="11E1FF83" w14:textId="547CFA2F" w:rsidR="00092765" w:rsidRPr="00D7407F" w:rsidRDefault="00092765" w:rsidP="00D7407F">
      <w:pPr>
        <w:pStyle w:val="NoSpacing"/>
        <w:rPr>
          <w:rFonts w:ascii="Calibri" w:hAnsi="Calibri" w:cs="Calibri"/>
        </w:rPr>
      </w:pPr>
      <w:r w:rsidRPr="00D7407F">
        <w:rPr>
          <w:rFonts w:ascii="Calibri" w:hAnsi="Calibri" w:cs="Calibri"/>
        </w:rPr>
        <w:t xml:space="preserve">For 37 years The Investment Counsel Company has been dedicated to understanding </w:t>
      </w:r>
      <w:r w:rsidR="00D7407F">
        <w:rPr>
          <w:rFonts w:ascii="Calibri" w:hAnsi="Calibri" w:cs="Calibri"/>
        </w:rPr>
        <w:t xml:space="preserve">our clients’ </w:t>
      </w:r>
      <w:r w:rsidRPr="00D7407F">
        <w:rPr>
          <w:rFonts w:ascii="Calibri" w:hAnsi="Calibri" w:cs="Calibri"/>
        </w:rPr>
        <w:t xml:space="preserve">financial needs and providing </w:t>
      </w:r>
      <w:r w:rsidR="00D7407F">
        <w:rPr>
          <w:rFonts w:ascii="Calibri" w:hAnsi="Calibri" w:cs="Calibri"/>
        </w:rPr>
        <w:t>them</w:t>
      </w:r>
      <w:r w:rsidRPr="00D7407F">
        <w:rPr>
          <w:rFonts w:ascii="Calibri" w:hAnsi="Calibri" w:cs="Calibri"/>
        </w:rPr>
        <w:t xml:space="preserve"> with the education, guidance and confidence to help attain </w:t>
      </w:r>
      <w:r w:rsidR="00D7407F">
        <w:rPr>
          <w:rFonts w:ascii="Calibri" w:hAnsi="Calibri" w:cs="Calibri"/>
        </w:rPr>
        <w:t>their</w:t>
      </w:r>
      <w:r w:rsidRPr="00D7407F">
        <w:rPr>
          <w:rFonts w:ascii="Calibri" w:hAnsi="Calibri" w:cs="Calibri"/>
        </w:rPr>
        <w:t xml:space="preserve"> investment goals and more.  We are very appreciative of the responsibility entrusted to us and</w:t>
      </w:r>
      <w:r w:rsidR="00AA1B0C" w:rsidRPr="00D7407F">
        <w:rPr>
          <w:rFonts w:ascii="Calibri" w:hAnsi="Calibri" w:cs="Calibri"/>
        </w:rPr>
        <w:t>, as always,</w:t>
      </w:r>
      <w:r w:rsidRPr="00D7407F">
        <w:rPr>
          <w:rFonts w:ascii="Calibri" w:hAnsi="Calibri" w:cs="Calibri"/>
        </w:rPr>
        <w:t xml:space="preserve"> are steadfast in our commitment to </w:t>
      </w:r>
      <w:r w:rsidR="00D7407F">
        <w:rPr>
          <w:rFonts w:ascii="Calibri" w:hAnsi="Calibri" w:cs="Calibri"/>
        </w:rPr>
        <w:t>deliver</w:t>
      </w:r>
      <w:r w:rsidRPr="00D7407F">
        <w:rPr>
          <w:rFonts w:ascii="Calibri" w:hAnsi="Calibri" w:cs="Calibri"/>
        </w:rPr>
        <w:t xml:space="preserve"> the highest level of service. </w:t>
      </w:r>
    </w:p>
    <w:p w14:paraId="7B005D20" w14:textId="1A5821CD" w:rsidR="00B444F7" w:rsidRPr="00D7407F" w:rsidRDefault="00B444F7" w:rsidP="00D7407F">
      <w:pPr>
        <w:pStyle w:val="NoSpacing"/>
        <w:rPr>
          <w:rFonts w:ascii="Calibri" w:hAnsi="Calibri" w:cs="Calibri"/>
        </w:rPr>
      </w:pPr>
    </w:p>
    <w:tbl>
      <w:tblPr>
        <w:tblW w:w="0" w:type="auto"/>
        <w:tblCellMar>
          <w:left w:w="0" w:type="dxa"/>
          <w:right w:w="0" w:type="dxa"/>
        </w:tblCellMar>
        <w:tblLook w:val="04A0" w:firstRow="1" w:lastRow="0" w:firstColumn="1" w:lastColumn="0" w:noHBand="0" w:noVBand="1"/>
      </w:tblPr>
      <w:tblGrid>
        <w:gridCol w:w="9504"/>
      </w:tblGrid>
      <w:tr w:rsidR="00D7407F" w:rsidRPr="00D7407F" w14:paraId="3EB9E510" w14:textId="77777777" w:rsidTr="00960CFA">
        <w:tc>
          <w:tcPr>
            <w:tcW w:w="0" w:type="auto"/>
            <w:tcMar>
              <w:top w:w="0" w:type="dxa"/>
              <w:left w:w="0" w:type="dxa"/>
              <w:bottom w:w="135" w:type="dxa"/>
              <w:right w:w="0" w:type="dxa"/>
            </w:tcMar>
            <w:vAlign w:val="center"/>
          </w:tcPr>
          <w:tbl>
            <w:tblPr>
              <w:tblW w:w="0" w:type="auto"/>
              <w:tblCellSpacing w:w="0" w:type="dxa"/>
              <w:tblCellMar>
                <w:left w:w="0" w:type="dxa"/>
                <w:right w:w="0" w:type="dxa"/>
              </w:tblCellMar>
              <w:tblLook w:val="04A0" w:firstRow="1" w:lastRow="0" w:firstColumn="1" w:lastColumn="0" w:noHBand="0" w:noVBand="1"/>
            </w:tblPr>
            <w:tblGrid>
              <w:gridCol w:w="5462"/>
              <w:gridCol w:w="9"/>
            </w:tblGrid>
            <w:tr w:rsidR="00D7407F" w:rsidRPr="00D7407F" w14:paraId="6B4B40CF" w14:textId="77777777">
              <w:trPr>
                <w:tblCellSpacing w:w="0" w:type="dxa"/>
              </w:trPr>
              <w:tc>
                <w:tcPr>
                  <w:tcW w:w="0" w:type="auto"/>
                  <w:gridSpan w:val="2"/>
                  <w:noWrap/>
                  <w:tcMar>
                    <w:top w:w="150" w:type="dxa"/>
                    <w:left w:w="0" w:type="dxa"/>
                    <w:bottom w:w="150" w:type="dxa"/>
                    <w:right w:w="0" w:type="dxa"/>
                  </w:tcMar>
                  <w:vAlign w:val="center"/>
                  <w:hideMark/>
                </w:tcPr>
                <w:bookmarkEnd w:id="1"/>
                <w:p w14:paraId="19B9BDEE" w14:textId="77777777" w:rsidR="00960CFA" w:rsidRPr="00D7407F" w:rsidRDefault="00D7407F" w:rsidP="00D7407F">
                  <w:pPr>
                    <w:pStyle w:val="NoSpacing"/>
                    <w:rPr>
                      <w:rFonts w:ascii="Calibri" w:hAnsi="Calibri" w:cs="Calibri"/>
                      <w:noProof/>
                    </w:rPr>
                  </w:pPr>
                  <w:r w:rsidRPr="00D7407F">
                    <w:rPr>
                      <w:rFonts w:ascii="Calibri" w:hAnsi="Calibri" w:cs="Calibri"/>
                      <w:noProof/>
                    </w:rPr>
                    <w:t>Randy A. Garcia</w:t>
                  </w:r>
                </w:p>
                <w:p w14:paraId="63EF382F" w14:textId="7B231DD5" w:rsidR="00D7407F" w:rsidRPr="00D7407F" w:rsidRDefault="00D7407F" w:rsidP="00D7407F">
                  <w:pPr>
                    <w:pStyle w:val="NoSpacing"/>
                    <w:rPr>
                      <w:rFonts w:ascii="Calibri" w:hAnsi="Calibri" w:cs="Calibri"/>
                    </w:rPr>
                  </w:pPr>
                  <w:r w:rsidRPr="00D7407F">
                    <w:rPr>
                      <w:rFonts w:ascii="Calibri" w:hAnsi="Calibri" w:cs="Calibri"/>
                    </w:rPr>
                    <w:t xml:space="preserve">Chief Executive Officer </w:t>
                  </w:r>
                </w:p>
              </w:tc>
            </w:tr>
            <w:tr w:rsidR="00D7407F" w:rsidRPr="00D7407F" w14:paraId="0AC3A511" w14:textId="77777777">
              <w:trPr>
                <w:tblCellSpacing w:w="0" w:type="dxa"/>
              </w:trPr>
              <w:tc>
                <w:tcPr>
                  <w:tcW w:w="0" w:type="auto"/>
                  <w:gridSpan w:val="2"/>
                  <w:noWrap/>
                  <w:vAlign w:val="center"/>
                  <w:hideMark/>
                </w:tcPr>
                <w:p w14:paraId="410227F4" w14:textId="77777777" w:rsidR="00960CFA" w:rsidRPr="00D7407F" w:rsidRDefault="00960CFA" w:rsidP="00D7407F">
                  <w:pPr>
                    <w:pStyle w:val="NoSpacing"/>
                    <w:rPr>
                      <w:rFonts w:ascii="Calibri" w:hAnsi="Calibri" w:cs="Calibri"/>
                    </w:rPr>
                  </w:pPr>
                  <w:r w:rsidRPr="00D7407F">
                    <w:rPr>
                      <w:rFonts w:ascii="Calibri" w:hAnsi="Calibri" w:cs="Calibri"/>
                    </w:rPr>
                    <w:t xml:space="preserve">10000 West Charleston Blvd. Suite 280 | Las Vegas, NV 89135 </w:t>
                  </w:r>
                </w:p>
              </w:tc>
            </w:tr>
            <w:tr w:rsidR="00D7407F" w:rsidRPr="00D7407F" w14:paraId="7F29692D" w14:textId="77777777">
              <w:trPr>
                <w:tblCellSpacing w:w="0" w:type="dxa"/>
              </w:trPr>
              <w:tc>
                <w:tcPr>
                  <w:tcW w:w="0" w:type="auto"/>
                  <w:noWrap/>
                  <w:vAlign w:val="center"/>
                  <w:hideMark/>
                </w:tcPr>
                <w:p w14:paraId="0EA04676" w14:textId="77777777" w:rsidR="00960CFA" w:rsidRPr="00D7407F" w:rsidRDefault="00960CFA" w:rsidP="00D7407F">
                  <w:pPr>
                    <w:pStyle w:val="NoSpacing"/>
                    <w:rPr>
                      <w:rFonts w:ascii="Calibri" w:hAnsi="Calibri" w:cs="Calibri"/>
                    </w:rPr>
                  </w:pPr>
                  <w:proofErr w:type="spellStart"/>
                  <w:r w:rsidRPr="00D7407F">
                    <w:rPr>
                      <w:rFonts w:ascii="Calibri" w:hAnsi="Calibri" w:cs="Calibri"/>
                    </w:rPr>
                    <w:t>tel</w:t>
                  </w:r>
                  <w:proofErr w:type="spellEnd"/>
                  <w:r w:rsidRPr="00D7407F">
                    <w:rPr>
                      <w:rFonts w:ascii="Calibri" w:hAnsi="Calibri" w:cs="Calibri"/>
                    </w:rPr>
                    <w:t xml:space="preserve"> (702) 871-8510 | fax (702) 871-4052 </w:t>
                  </w:r>
                </w:p>
              </w:tc>
              <w:tc>
                <w:tcPr>
                  <w:tcW w:w="0" w:type="auto"/>
                  <w:vAlign w:val="center"/>
                  <w:hideMark/>
                </w:tcPr>
                <w:p w14:paraId="35BBC2B5" w14:textId="77777777" w:rsidR="00960CFA" w:rsidRPr="00D7407F" w:rsidRDefault="00960CFA" w:rsidP="00D7407F">
                  <w:pPr>
                    <w:pStyle w:val="NoSpacing"/>
                    <w:rPr>
                      <w:rFonts w:ascii="Calibri" w:hAnsi="Calibri" w:cs="Calibri"/>
                    </w:rPr>
                  </w:pPr>
                </w:p>
              </w:tc>
            </w:tr>
          </w:tbl>
          <w:p w14:paraId="72B4D1DD" w14:textId="77777777" w:rsidR="00960CFA" w:rsidRPr="00D7407F" w:rsidRDefault="00960CFA" w:rsidP="00D7407F">
            <w:pPr>
              <w:pStyle w:val="NoSpacing"/>
              <w:rPr>
                <w:rFonts w:ascii="Calibri" w:hAnsi="Calibri" w:cs="Calibri"/>
                <w:vanish/>
              </w:rPr>
            </w:pPr>
          </w:p>
          <w:tbl>
            <w:tblPr>
              <w:tblW w:w="0" w:type="auto"/>
              <w:tblCellSpacing w:w="0" w:type="dxa"/>
              <w:tblCellMar>
                <w:left w:w="0" w:type="dxa"/>
                <w:right w:w="0" w:type="dxa"/>
              </w:tblCellMar>
              <w:tblLook w:val="04A0" w:firstRow="1" w:lastRow="0" w:firstColumn="1" w:lastColumn="0" w:noHBand="0" w:noVBand="1"/>
            </w:tblPr>
            <w:tblGrid>
              <w:gridCol w:w="6"/>
              <w:gridCol w:w="9498"/>
            </w:tblGrid>
            <w:tr w:rsidR="00D7407F" w:rsidRPr="00D7407F" w14:paraId="72A22F42" w14:textId="77777777">
              <w:trPr>
                <w:tblCellSpacing w:w="0" w:type="dxa"/>
              </w:trPr>
              <w:tc>
                <w:tcPr>
                  <w:tcW w:w="0" w:type="auto"/>
                  <w:noWrap/>
                  <w:tcMar>
                    <w:top w:w="90" w:type="dxa"/>
                    <w:left w:w="0" w:type="dxa"/>
                    <w:bottom w:w="0" w:type="dxa"/>
                    <w:right w:w="0" w:type="dxa"/>
                  </w:tcMar>
                  <w:vAlign w:val="center"/>
                  <w:hideMark/>
                </w:tcPr>
                <w:p w14:paraId="1DE4087E" w14:textId="496C4B9A" w:rsidR="00960CFA" w:rsidRPr="00D7407F" w:rsidRDefault="00960CFA" w:rsidP="00D7407F">
                  <w:pPr>
                    <w:pStyle w:val="NoSpacing"/>
                    <w:rPr>
                      <w:rFonts w:ascii="Calibri" w:hAnsi="Calibri" w:cs="Calibri"/>
                    </w:rPr>
                  </w:pPr>
                </w:p>
              </w:tc>
              <w:tc>
                <w:tcPr>
                  <w:tcW w:w="5000" w:type="pct"/>
                  <w:noWrap/>
                  <w:tcMar>
                    <w:top w:w="60" w:type="dxa"/>
                    <w:left w:w="120" w:type="dxa"/>
                    <w:bottom w:w="0" w:type="dxa"/>
                    <w:right w:w="0" w:type="dxa"/>
                  </w:tcMar>
                  <w:vAlign w:val="center"/>
                  <w:hideMark/>
                </w:tcPr>
                <w:p w14:paraId="50269154" w14:textId="5A9D1F85" w:rsidR="00960CFA" w:rsidRPr="00D7407F" w:rsidRDefault="00960CFA" w:rsidP="00D7407F">
                  <w:pPr>
                    <w:pStyle w:val="NoSpacing"/>
                    <w:rPr>
                      <w:rFonts w:ascii="Calibri" w:hAnsi="Calibri" w:cs="Calibri"/>
                    </w:rPr>
                  </w:pPr>
                </w:p>
              </w:tc>
            </w:tr>
            <w:tr w:rsidR="00D7407F" w:rsidRPr="00D7407F" w14:paraId="286BA445" w14:textId="77777777">
              <w:trPr>
                <w:tblCellSpacing w:w="0" w:type="dxa"/>
              </w:trPr>
              <w:tc>
                <w:tcPr>
                  <w:tcW w:w="0" w:type="auto"/>
                  <w:gridSpan w:val="2"/>
                  <w:noWrap/>
                  <w:tcMar>
                    <w:top w:w="150" w:type="dxa"/>
                    <w:left w:w="0" w:type="dxa"/>
                    <w:bottom w:w="0" w:type="dxa"/>
                    <w:right w:w="0" w:type="dxa"/>
                  </w:tcMar>
                  <w:vAlign w:val="center"/>
                  <w:hideMark/>
                </w:tcPr>
                <w:p w14:paraId="52FBFED2" w14:textId="4215777C" w:rsidR="00960CFA" w:rsidRPr="00D7407F" w:rsidRDefault="00960CFA" w:rsidP="00D7407F">
                  <w:pPr>
                    <w:pStyle w:val="NoSpacing"/>
                    <w:rPr>
                      <w:rFonts w:ascii="Calibri" w:hAnsi="Calibri" w:cs="Calibri"/>
                    </w:rPr>
                  </w:pPr>
                </w:p>
              </w:tc>
            </w:tr>
            <w:tr w:rsidR="00D7407F" w:rsidRPr="00D7407F" w14:paraId="6FCD5E12" w14:textId="77777777">
              <w:trPr>
                <w:tblCellSpacing w:w="0" w:type="dxa"/>
              </w:trPr>
              <w:tc>
                <w:tcPr>
                  <w:tcW w:w="0" w:type="auto"/>
                  <w:gridSpan w:val="2"/>
                  <w:noWrap/>
                  <w:tcMar>
                    <w:top w:w="150" w:type="dxa"/>
                    <w:left w:w="0" w:type="dxa"/>
                    <w:bottom w:w="0" w:type="dxa"/>
                    <w:right w:w="0" w:type="dxa"/>
                  </w:tcMar>
                  <w:vAlign w:val="center"/>
                  <w:hideMark/>
                </w:tcPr>
                <w:p w14:paraId="4489A6B6" w14:textId="30C010D3" w:rsidR="00960CFA" w:rsidRPr="00D7407F" w:rsidRDefault="00960CFA" w:rsidP="00D7407F">
                  <w:pPr>
                    <w:pStyle w:val="NoSpacing"/>
                    <w:rPr>
                      <w:rFonts w:ascii="Calibri" w:hAnsi="Calibri" w:cs="Calibri"/>
                    </w:rPr>
                  </w:pPr>
                  <w:r w:rsidRPr="00D7407F">
                    <w:rPr>
                      <w:rFonts w:ascii="Calibri" w:hAnsi="Calibri" w:cs="Calibri"/>
                      <w:noProof/>
                    </w:rPr>
                    <w:lastRenderedPageBreak/>
                    <w:drawing>
                      <wp:inline distT="0" distB="0" distL="0" distR="0" wp14:anchorId="1FF2F5D2" wp14:editId="321A29BD">
                        <wp:extent cx="5021580" cy="685800"/>
                        <wp:effectExtent l="0" t="0" r="7620" b="0"/>
                        <wp:docPr id="242293744" name="Picture 1" descr="Professional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essional Award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21580" cy="685800"/>
                                </a:xfrm>
                                <a:prstGeom prst="rect">
                                  <a:avLst/>
                                </a:prstGeom>
                                <a:noFill/>
                                <a:ln>
                                  <a:noFill/>
                                </a:ln>
                              </pic:spPr>
                            </pic:pic>
                          </a:graphicData>
                        </a:graphic>
                      </wp:inline>
                    </w:drawing>
                  </w:r>
                </w:p>
              </w:tc>
            </w:tr>
          </w:tbl>
          <w:p w14:paraId="349EBD18" w14:textId="77777777" w:rsidR="00960CFA" w:rsidRPr="00D7407F" w:rsidRDefault="00960CFA" w:rsidP="00D7407F">
            <w:pPr>
              <w:pStyle w:val="NoSpacing"/>
              <w:rPr>
                <w:rFonts w:ascii="Calibri" w:hAnsi="Calibri" w:cs="Calibri"/>
                <w:vanish/>
              </w:rPr>
            </w:pPr>
          </w:p>
          <w:p w14:paraId="43AD6DCB" w14:textId="77777777" w:rsidR="00D7407F" w:rsidRDefault="00D7407F" w:rsidP="00D7407F">
            <w:pPr>
              <w:pStyle w:val="NoSpacing"/>
              <w:jc w:val="both"/>
              <w:rPr>
                <w:rFonts w:cstheme="minorHAnsi"/>
              </w:rPr>
            </w:pPr>
          </w:p>
          <w:p w14:paraId="6F59DAB0" w14:textId="77777777" w:rsidR="00D7407F" w:rsidRPr="004005EA" w:rsidRDefault="00D7407F" w:rsidP="00D7407F">
            <w:pPr>
              <w:pStyle w:val="NoSpacing"/>
              <w:jc w:val="center"/>
              <w:rPr>
                <w:b/>
                <w:bCs/>
                <w:i/>
                <w:iCs/>
                <w:snapToGrid w:val="0"/>
                <w:color w:val="808080" w:themeColor="background1" w:themeShade="80"/>
                <w:sz w:val="16"/>
                <w:szCs w:val="16"/>
              </w:rPr>
            </w:pPr>
            <w:r w:rsidRPr="004005EA">
              <w:rPr>
                <w:b/>
                <w:bCs/>
                <w:i/>
                <w:iCs/>
                <w:snapToGrid w:val="0"/>
                <w:color w:val="808080" w:themeColor="background1" w:themeShade="80"/>
                <w:sz w:val="16"/>
                <w:szCs w:val="16"/>
              </w:rPr>
              <w:t>Important Disclosure Information</w:t>
            </w:r>
          </w:p>
          <w:p w14:paraId="652778E3" w14:textId="77777777" w:rsidR="00D7407F" w:rsidRPr="004005EA" w:rsidRDefault="00D7407F" w:rsidP="00D7407F">
            <w:pPr>
              <w:pStyle w:val="NoSpacing"/>
              <w:jc w:val="both"/>
              <w:rPr>
                <w:i/>
                <w:iCs/>
                <w:color w:val="808080" w:themeColor="background1" w:themeShade="80"/>
                <w:sz w:val="16"/>
                <w:szCs w:val="16"/>
              </w:rPr>
            </w:pPr>
            <w:r w:rsidRPr="004005EA">
              <w:rPr>
                <w:i/>
                <w:iCs/>
                <w:color w:val="808080" w:themeColor="background1" w:themeShade="80"/>
                <w:sz w:val="16"/>
                <w:szCs w:val="16"/>
              </w:rPr>
              <w:t xml:space="preserve">Please remember that past performance is no guarantee of future results.  Different types of investments involve varying degrees of risk, and there can be no assurance that the future performance of any specific investment, investment strategy, or product (including the investments and/or investment strategies recommended or undertaken by The Investment Counsel Company of Nevada [“ICCNV]), or any non-investment related content, made reference to directly or indirectly in this commentary will be profitable, equal any corresponding indicated historical performance level(s), be suitable for your portfolio or individual situation, or prove successful.  Due to various factors, including changing market conditions and/or applicable laws, the content may no longer be reflective of current opinions or positions. Moreover, you should not assume that any discussion or information contained in this commentary serves as the receipt of, or as a substitute for, personalized investment advice from ICCNV. Neither ICCNV’s investment adviser registration status, nor any amount of prior experience or success, should be construed that a certain level of results or satisfaction will be achieved if ICCNV is engaged, or continues to be engaged, to provide investment advisory services. ICCNV is neither a law firm, nor a certified public accounting firm, and no portion of the commentary content should be construed as legal or accounting advice. A copy of the ICCNV’s current written disclosure Brochure discussing our advisory services and fees continues to remain available upon request or at </w:t>
            </w:r>
            <w:hyperlink r:id="rId10" w:history="1">
              <w:r w:rsidRPr="004005EA">
                <w:rPr>
                  <w:rStyle w:val="Hyperlink"/>
                  <w:rFonts w:cstheme="minorHAnsi"/>
                  <w:i/>
                  <w:iCs/>
                  <w:color w:val="808080" w:themeColor="background1" w:themeShade="80"/>
                  <w:sz w:val="16"/>
                  <w:szCs w:val="16"/>
                </w:rPr>
                <w:t>www.iccnv.com</w:t>
              </w:r>
            </w:hyperlink>
            <w:r w:rsidRPr="004005EA">
              <w:rPr>
                <w:i/>
                <w:iCs/>
                <w:color w:val="808080" w:themeColor="background1" w:themeShade="80"/>
                <w:sz w:val="16"/>
                <w:szCs w:val="16"/>
              </w:rPr>
              <w:t xml:space="preserve">.  </w:t>
            </w:r>
            <w:r w:rsidRPr="004005EA">
              <w:rPr>
                <w:b/>
                <w:bCs/>
                <w:i/>
                <w:iCs/>
                <w:color w:val="808080" w:themeColor="background1" w:themeShade="80"/>
                <w:sz w:val="16"/>
                <w:szCs w:val="16"/>
              </w:rPr>
              <w:t>Please Remember</w:t>
            </w:r>
            <w:r w:rsidRPr="004005EA">
              <w:rPr>
                <w:i/>
                <w:iCs/>
                <w:color w:val="808080" w:themeColor="background1" w:themeShade="80"/>
                <w:sz w:val="16"/>
                <w:szCs w:val="16"/>
              </w:rPr>
              <w:t xml:space="preserve">: If you are a ICCNV client, please contact ICCNV, in writing, if there are any changes in your personal/financial situation or investment objectives for the purpose of reviewing/evaluating/revising our previous recommendations and/or services, or if you would like to impose, add, or to modify any reasonable restrictions to our investment advisory services.  Unless, and until, you notify us, in writing, to the contrary, we shall continue to provide services as we do currently. </w:t>
            </w:r>
            <w:r w:rsidRPr="004005EA">
              <w:rPr>
                <w:b/>
                <w:bCs/>
                <w:i/>
                <w:iCs/>
                <w:color w:val="808080" w:themeColor="background1" w:themeShade="80"/>
                <w:sz w:val="16"/>
                <w:szCs w:val="16"/>
              </w:rPr>
              <w:t xml:space="preserve">Please Also Remember </w:t>
            </w:r>
            <w:r w:rsidRPr="004005EA">
              <w:rPr>
                <w:i/>
                <w:iCs/>
                <w:color w:val="808080" w:themeColor="background1" w:themeShade="80"/>
                <w:sz w:val="16"/>
                <w:szCs w:val="16"/>
              </w:rPr>
              <w:t>to</w:t>
            </w:r>
            <w:r w:rsidRPr="004005EA">
              <w:rPr>
                <w:bCs/>
                <w:i/>
                <w:iCs/>
                <w:color w:val="808080" w:themeColor="background1" w:themeShade="80"/>
                <w:sz w:val="16"/>
                <w:szCs w:val="16"/>
              </w:rPr>
              <w:t xml:space="preserve"> advise us</w:t>
            </w:r>
            <w:r w:rsidRPr="004005EA">
              <w:rPr>
                <w:i/>
                <w:iCs/>
                <w:color w:val="808080" w:themeColor="background1" w:themeShade="80"/>
                <w:sz w:val="16"/>
                <w:szCs w:val="16"/>
              </w:rPr>
              <w:t xml:space="preserve"> if you have not been receiving account statements (at least quarterly) from the account custodian.</w:t>
            </w:r>
          </w:p>
          <w:p w14:paraId="36558C7C" w14:textId="77777777" w:rsidR="00D7407F" w:rsidRPr="004005EA" w:rsidRDefault="00D7407F" w:rsidP="00D7407F">
            <w:pPr>
              <w:pStyle w:val="NoSpacing"/>
              <w:jc w:val="both"/>
              <w:rPr>
                <w:i/>
                <w:iCs/>
                <w:color w:val="808080" w:themeColor="background1" w:themeShade="80"/>
                <w:sz w:val="16"/>
                <w:szCs w:val="16"/>
              </w:rPr>
            </w:pPr>
          </w:p>
          <w:p w14:paraId="0AFB39BB" w14:textId="77777777" w:rsidR="00D7407F" w:rsidRPr="004005EA" w:rsidRDefault="00D7407F" w:rsidP="00D7407F">
            <w:pPr>
              <w:pStyle w:val="NoSpacing"/>
              <w:jc w:val="both"/>
              <w:rPr>
                <w:i/>
                <w:iCs/>
                <w:color w:val="808080" w:themeColor="background1" w:themeShade="80"/>
                <w:sz w:val="16"/>
                <w:szCs w:val="16"/>
              </w:rPr>
            </w:pPr>
            <w:r w:rsidRPr="004005EA">
              <w:rPr>
                <w:i/>
                <w:iCs/>
                <w:color w:val="808080" w:themeColor="background1" w:themeShade="80"/>
                <w:sz w:val="16"/>
                <w:szCs w:val="16"/>
              </w:rPr>
              <w:t xml:space="preserve">Historical performance results for investment indices, benchmarks, and/or categories have been provided for general informational/comparison purposes only, and generally do not reflect the deduction of transaction and/or custodial charges, the deduction of an investment management fee, nor the impact of taxes, the incurrence of which would have the effect of decreasing historical performance results.  It should not be assumed that your ICCNV account holdings correspond directly to any comparative indices or categories. </w:t>
            </w:r>
            <w:r w:rsidRPr="004005EA">
              <w:rPr>
                <w:bCs/>
                <w:i/>
                <w:iCs/>
                <w:color w:val="808080" w:themeColor="background1" w:themeShade="80"/>
                <w:sz w:val="16"/>
                <w:szCs w:val="16"/>
              </w:rPr>
              <w:t>Please Also Note</w:t>
            </w:r>
            <w:r w:rsidRPr="004005EA">
              <w:rPr>
                <w:i/>
                <w:iCs/>
                <w:color w:val="808080" w:themeColor="background1" w:themeShade="80"/>
                <w:sz w:val="16"/>
                <w:szCs w:val="16"/>
              </w:rPr>
              <w:t>: (1) performance results do not reflect the impact of taxes; (2) comparative benchmarks/indices may be more or less volatile than your ICCNV accounts; and, (3) a description of each comparative benchmark/index is available upon request.</w:t>
            </w:r>
          </w:p>
          <w:p w14:paraId="62E275C0" w14:textId="77777777" w:rsidR="00D7407F" w:rsidRPr="004005EA" w:rsidRDefault="00D7407F" w:rsidP="00D7407F">
            <w:pPr>
              <w:pStyle w:val="NoSpacing"/>
              <w:jc w:val="both"/>
              <w:rPr>
                <w:i/>
                <w:iCs/>
                <w:color w:val="808080" w:themeColor="background1" w:themeShade="80"/>
                <w:sz w:val="16"/>
                <w:szCs w:val="16"/>
              </w:rPr>
            </w:pPr>
          </w:p>
          <w:p w14:paraId="1EC32046" w14:textId="58CF2395" w:rsidR="00D7407F" w:rsidRPr="00D7407F" w:rsidRDefault="00D7407F" w:rsidP="00D7407F">
            <w:pPr>
              <w:pStyle w:val="NoSpacing"/>
              <w:jc w:val="both"/>
              <w:rPr>
                <w:i/>
                <w:iCs/>
                <w:color w:val="808080" w:themeColor="background1" w:themeShade="80"/>
                <w:sz w:val="16"/>
                <w:szCs w:val="16"/>
              </w:rPr>
            </w:pPr>
            <w:r w:rsidRPr="004005EA">
              <w:rPr>
                <w:i/>
                <w:iCs/>
                <w:color w:val="808080" w:themeColor="background1" w:themeShade="80"/>
                <w:sz w:val="16"/>
                <w:szCs w:val="16"/>
              </w:rPr>
              <w:t xml:space="preserve">Historical performance results for investment indices, benchmarks, and/or categories have been provided for general informational/comparison purposes only, and generally do not reflect the deduction of transaction and/or custodial charges, the deduction of an investment management fee, nor the impact of taxes, the incurrence of which would have the effect of decreasing historical performance results.  It should not be assumed that your ICCNV account holdings correspond directly to any comparative indices or categories. </w:t>
            </w:r>
            <w:r w:rsidRPr="004005EA">
              <w:rPr>
                <w:b/>
                <w:bCs/>
                <w:i/>
                <w:iCs/>
                <w:color w:val="808080" w:themeColor="background1" w:themeShade="80"/>
                <w:sz w:val="16"/>
                <w:szCs w:val="16"/>
              </w:rPr>
              <w:t>Please Also Note</w:t>
            </w:r>
            <w:r w:rsidRPr="004005EA">
              <w:rPr>
                <w:i/>
                <w:iCs/>
                <w:color w:val="808080" w:themeColor="background1" w:themeShade="80"/>
                <w:sz w:val="16"/>
                <w:szCs w:val="16"/>
              </w:rPr>
              <w:t>: (1) performance results do not reflect the impact of taxes; (2) comparative benchmarks/indices may be more or less volatile than your ICCNV accounts; and, (3) a description of each comparative benchmark/index is available upon request.</w:t>
            </w:r>
          </w:p>
        </w:tc>
      </w:tr>
      <w:tr w:rsidR="00960CFA" w14:paraId="0A0A1F9F" w14:textId="77777777" w:rsidTr="00960CFA">
        <w:tc>
          <w:tcPr>
            <w:tcW w:w="0" w:type="auto"/>
            <w:tcMar>
              <w:top w:w="0" w:type="dxa"/>
              <w:left w:w="0" w:type="dxa"/>
              <w:bottom w:w="135" w:type="dxa"/>
              <w:right w:w="0" w:type="dxa"/>
            </w:tcMar>
            <w:vAlign w:val="center"/>
            <w:hideMark/>
          </w:tcPr>
          <w:p w14:paraId="7C956329" w14:textId="2FE7D10B" w:rsidR="00960CFA" w:rsidRDefault="00960CFA">
            <w:pPr>
              <w:spacing w:line="252" w:lineRule="auto"/>
              <w:jc w:val="both"/>
            </w:pPr>
          </w:p>
        </w:tc>
      </w:tr>
    </w:tbl>
    <w:p w14:paraId="416BD6D3" w14:textId="77777777" w:rsidR="00960CFA" w:rsidRPr="00D7407F" w:rsidRDefault="00960CFA" w:rsidP="00960CFA">
      <w:pPr>
        <w:shd w:val="clear" w:color="auto" w:fill="FFFFFF"/>
        <w:rPr>
          <w:rFonts w:ascii="Calibri" w:hAnsi="Calibri" w:cs="Calibri"/>
          <w:color w:val="A5A5A5"/>
          <w:sz w:val="16"/>
          <w:szCs w:val="16"/>
        </w:rPr>
      </w:pPr>
      <w:r>
        <w:rPr>
          <w:b/>
          <w:bCs/>
          <w:i/>
          <w:iCs/>
          <w:color w:val="A5A5A5"/>
          <w:sz w:val="16"/>
          <w:szCs w:val="16"/>
        </w:rPr>
        <w:t>*</w:t>
      </w:r>
      <w:r w:rsidRPr="00D7407F">
        <w:rPr>
          <w:rFonts w:ascii="Calibri" w:hAnsi="Calibri" w:cs="Calibri"/>
          <w:b/>
          <w:bCs/>
          <w:i/>
          <w:iCs/>
          <w:color w:val="A5A5A5"/>
          <w:sz w:val="16"/>
          <w:szCs w:val="16"/>
        </w:rPr>
        <w:t>Please Note: Limitations:</w:t>
      </w:r>
      <w:r w:rsidRPr="00D7407F">
        <w:rPr>
          <w:rFonts w:ascii="Calibri" w:hAnsi="Calibri" w:cs="Calibri"/>
          <w:i/>
          <w:iCs/>
          <w:color w:val="A5A5A5"/>
          <w:sz w:val="16"/>
          <w:szCs w:val="16"/>
        </w:rPr>
        <w:t xml:space="preserve"> Neither rankings and/or recognition by unaffiliated rating services, publications, media, or other organizations, nor the achievement of any designation or certification, should be construed by a client or prospective client as a guarantee that he/she will experience a certain level of results if ICC is engaged, or continues to be engaged, to provide investment advisory services. Rankings published by </w:t>
      </w:r>
      <w:r w:rsidRPr="00D7407F">
        <w:rPr>
          <w:rFonts w:ascii="Calibri" w:hAnsi="Calibri" w:cs="Calibri"/>
          <w:color w:val="A5A5A5"/>
          <w:sz w:val="16"/>
          <w:szCs w:val="16"/>
        </w:rPr>
        <w:t>magazines</w:t>
      </w:r>
      <w:r w:rsidRPr="00D7407F">
        <w:rPr>
          <w:rFonts w:ascii="Calibri" w:hAnsi="Calibri" w:cs="Calibri"/>
          <w:i/>
          <w:iCs/>
          <w:color w:val="A5A5A5"/>
          <w:sz w:val="16"/>
          <w:szCs w:val="16"/>
        </w:rPr>
        <w:t>, and others, generally base their selections exclusively on information prepared and/or submitted by the recognized adviser. Rankings are generally limited to participating advisers. Unless expressly indicated to the contrary, ICC did not pay a fee to be included on any such ranking. No ranking or recognition should be construed as a current or past endorsement of ICC by any of its clients.</w:t>
      </w:r>
    </w:p>
    <w:p w14:paraId="611D421B" w14:textId="77777777" w:rsidR="00960CFA" w:rsidRPr="00D7407F" w:rsidRDefault="00960CFA" w:rsidP="00960CFA">
      <w:pPr>
        <w:shd w:val="clear" w:color="auto" w:fill="FFFFFF"/>
        <w:rPr>
          <w:rFonts w:ascii="Calibri" w:hAnsi="Calibri" w:cs="Calibri"/>
          <w:color w:val="A5A5A5"/>
          <w:sz w:val="16"/>
          <w:szCs w:val="16"/>
        </w:rPr>
      </w:pPr>
      <w:r w:rsidRPr="00D7407F">
        <w:rPr>
          <w:rFonts w:ascii="Calibri" w:hAnsi="Calibri" w:cs="Calibri"/>
          <w:b/>
          <w:bCs/>
          <w:i/>
          <w:iCs/>
          <w:color w:val="A5A5A5"/>
          <w:sz w:val="16"/>
          <w:szCs w:val="16"/>
        </w:rPr>
        <w:t>*</w:t>
      </w:r>
      <w:proofErr w:type="gramStart"/>
      <w:r w:rsidRPr="00D7407F">
        <w:rPr>
          <w:rFonts w:ascii="Calibri" w:hAnsi="Calibri" w:cs="Calibri"/>
          <w:b/>
          <w:bCs/>
          <w:i/>
          <w:iCs/>
          <w:color w:val="A5A5A5"/>
          <w:sz w:val="16"/>
          <w:szCs w:val="16"/>
        </w:rPr>
        <w:t>The Barron’s</w:t>
      </w:r>
      <w:proofErr w:type="gramEnd"/>
      <w:r w:rsidRPr="00D7407F">
        <w:rPr>
          <w:rFonts w:ascii="Calibri" w:hAnsi="Calibri" w:cs="Calibri"/>
          <w:b/>
          <w:bCs/>
          <w:i/>
          <w:iCs/>
          <w:color w:val="A5A5A5"/>
          <w:sz w:val="16"/>
          <w:szCs w:val="16"/>
        </w:rPr>
        <w:t xml:space="preserve"> Top 1200 Financial Advisors by State</w:t>
      </w:r>
      <w:r w:rsidRPr="00D7407F">
        <w:rPr>
          <w:rFonts w:ascii="Calibri" w:hAnsi="Calibri" w:cs="Calibri"/>
          <w:i/>
          <w:iCs/>
          <w:color w:val="A5A5A5"/>
          <w:sz w:val="16"/>
          <w:szCs w:val="16"/>
        </w:rPr>
        <w:t xml:space="preserve"> ranking is based on data provided by over 4,000 of the nation’s most productive advisors. Factors included in the rankings </w:t>
      </w:r>
      <w:proofErr w:type="gramStart"/>
      <w:r w:rsidRPr="00D7407F">
        <w:rPr>
          <w:rFonts w:ascii="Calibri" w:hAnsi="Calibri" w:cs="Calibri"/>
          <w:i/>
          <w:iCs/>
          <w:color w:val="A5A5A5"/>
          <w:sz w:val="16"/>
          <w:szCs w:val="16"/>
        </w:rPr>
        <w:t>are:</w:t>
      </w:r>
      <w:proofErr w:type="gramEnd"/>
      <w:r w:rsidRPr="00D7407F">
        <w:rPr>
          <w:rFonts w:ascii="Calibri" w:hAnsi="Calibri" w:cs="Calibri"/>
          <w:i/>
          <w:iCs/>
          <w:color w:val="A5A5A5"/>
          <w:sz w:val="16"/>
          <w:szCs w:val="16"/>
        </w:rPr>
        <w:t xml:space="preserve"> assets under management, revenue produced for the firm, regulatory record, quality of practice, and philanthropic work. There is no cost or fee to participate in this survey. The questionnaire is completed and submitted online.</w:t>
      </w:r>
    </w:p>
    <w:p w14:paraId="3A7DDD67" w14:textId="77777777" w:rsidR="00960CFA" w:rsidRPr="00D7407F" w:rsidRDefault="00960CFA" w:rsidP="00960CFA">
      <w:pPr>
        <w:shd w:val="clear" w:color="auto" w:fill="FFFFFF"/>
        <w:rPr>
          <w:rFonts w:ascii="Calibri" w:hAnsi="Calibri" w:cs="Calibri"/>
          <w:color w:val="A5A5A5"/>
          <w:sz w:val="16"/>
          <w:szCs w:val="16"/>
        </w:rPr>
      </w:pPr>
      <w:r w:rsidRPr="00D7407F">
        <w:rPr>
          <w:rFonts w:ascii="Calibri" w:hAnsi="Calibri" w:cs="Calibri"/>
          <w:b/>
          <w:bCs/>
          <w:i/>
          <w:iCs/>
          <w:color w:val="A5A5A5"/>
          <w:sz w:val="16"/>
          <w:szCs w:val="16"/>
        </w:rPr>
        <w:t>**The Barron’s Top 100 Independent Advisors</w:t>
      </w:r>
      <w:r w:rsidRPr="00D7407F">
        <w:rPr>
          <w:rFonts w:ascii="Calibri" w:hAnsi="Calibri" w:cs="Calibri"/>
          <w:i/>
          <w:iCs/>
          <w:color w:val="A5A5A5"/>
          <w:sz w:val="16"/>
          <w:szCs w:val="16"/>
        </w:rPr>
        <w:t xml:space="preserve"> ranking reflects the volume of assets overseen by the advisors and their teams, revenues generated for the firms, and the quality of the advisors’ practices. The scoring system assigns a top score of 100 and rates the rest by comparing them with the top-ranked advisor. There is no cost or fee involved to participate in this survey. The questionnaire is completed and submitted online.</w:t>
      </w:r>
    </w:p>
    <w:p w14:paraId="09A378DC" w14:textId="77777777" w:rsidR="00960CFA" w:rsidRPr="00D7407F" w:rsidRDefault="00960CFA" w:rsidP="00960CFA">
      <w:pPr>
        <w:shd w:val="clear" w:color="auto" w:fill="FFFFFF"/>
        <w:rPr>
          <w:rFonts w:ascii="Calibri" w:hAnsi="Calibri" w:cs="Calibri"/>
          <w:color w:val="A5A5A5"/>
          <w:sz w:val="16"/>
          <w:szCs w:val="16"/>
        </w:rPr>
      </w:pPr>
      <w:r w:rsidRPr="00D7407F">
        <w:rPr>
          <w:rFonts w:ascii="Calibri" w:hAnsi="Calibri" w:cs="Calibri"/>
          <w:b/>
          <w:bCs/>
          <w:i/>
          <w:iCs/>
          <w:color w:val="A5A5A5"/>
          <w:sz w:val="16"/>
          <w:szCs w:val="16"/>
        </w:rPr>
        <w:t>The Forbes “America’s Top Wealth Advisors”</w:t>
      </w:r>
      <w:r w:rsidRPr="00D7407F">
        <w:rPr>
          <w:rFonts w:ascii="Calibri" w:hAnsi="Calibri" w:cs="Calibri"/>
          <w:i/>
          <w:iCs/>
          <w:color w:val="A5A5A5"/>
          <w:sz w:val="16"/>
          <w:szCs w:val="16"/>
        </w:rPr>
        <w:t xml:space="preserve"> ranking was developed by SHOOK Research and is based on in-person interviews and telephone due diligence meetings and a ranking algorithm that includes client retention, industry experience, review of compliance records, firm nominations and quantitative criteria, including assets under management and revenue generated for their firms. Investment performance is not a criterion because client objectives and risk tolerances vary and advisors rarely have audited performance reports.  Rankings are based on the opinions of SHOOK Research, LLC and </w:t>
      </w:r>
      <w:proofErr w:type="gramStart"/>
      <w:r w:rsidRPr="00D7407F">
        <w:rPr>
          <w:rFonts w:ascii="Calibri" w:hAnsi="Calibri" w:cs="Calibri"/>
          <w:i/>
          <w:iCs/>
          <w:color w:val="A5A5A5"/>
          <w:sz w:val="16"/>
          <w:szCs w:val="16"/>
        </w:rPr>
        <w:t>not</w:t>
      </w:r>
      <w:proofErr w:type="gramEnd"/>
      <w:r w:rsidRPr="00D7407F">
        <w:rPr>
          <w:rFonts w:ascii="Calibri" w:hAnsi="Calibri" w:cs="Calibri"/>
          <w:i/>
          <w:iCs/>
          <w:color w:val="A5A5A5"/>
          <w:sz w:val="16"/>
          <w:szCs w:val="16"/>
        </w:rPr>
        <w:t xml:space="preserve"> indicative of future performance or representative of any one client’s experience. Rankings and recognition from Forbes are no guarantee of future investment success and do not ensure that a current or prospective client will experience a higher level of performance results, and such rankings should not be construed as an endorsement of the advisor.  Neither Forbes nor SHOOK Research receives compensation in exchange for placement on the ranking.</w:t>
      </w:r>
    </w:p>
    <w:p w14:paraId="5F604B7D" w14:textId="77777777" w:rsidR="00960CFA" w:rsidRPr="00D7407F" w:rsidRDefault="00960CFA" w:rsidP="00960CFA">
      <w:pPr>
        <w:shd w:val="clear" w:color="auto" w:fill="FFFFFF"/>
        <w:rPr>
          <w:rFonts w:ascii="Calibri" w:hAnsi="Calibri" w:cs="Calibri"/>
          <w:color w:val="A5A5A5"/>
          <w:sz w:val="16"/>
          <w:szCs w:val="16"/>
        </w:rPr>
      </w:pPr>
      <w:r w:rsidRPr="00D7407F">
        <w:rPr>
          <w:rFonts w:ascii="Calibri" w:hAnsi="Calibri" w:cs="Calibri"/>
          <w:b/>
          <w:bCs/>
          <w:i/>
          <w:iCs/>
          <w:color w:val="A5A5A5"/>
          <w:sz w:val="16"/>
          <w:szCs w:val="16"/>
          <w:shd w:val="clear" w:color="auto" w:fill="FCFCFC"/>
        </w:rPr>
        <w:t xml:space="preserve">The </w:t>
      </w:r>
      <w:r w:rsidRPr="00D7407F">
        <w:rPr>
          <w:rFonts w:ascii="Calibri" w:hAnsi="Calibri" w:cs="Calibri"/>
          <w:b/>
          <w:bCs/>
          <w:color w:val="A5A5A5"/>
          <w:sz w:val="16"/>
          <w:szCs w:val="16"/>
          <w:shd w:val="clear" w:color="auto" w:fill="FCFCFC"/>
        </w:rPr>
        <w:t>Forbes</w:t>
      </w:r>
      <w:r w:rsidRPr="00D7407F">
        <w:rPr>
          <w:rFonts w:ascii="Calibri" w:hAnsi="Calibri" w:cs="Calibri"/>
          <w:b/>
          <w:bCs/>
          <w:i/>
          <w:iCs/>
          <w:color w:val="A5A5A5"/>
          <w:sz w:val="16"/>
          <w:szCs w:val="16"/>
          <w:shd w:val="clear" w:color="auto" w:fill="FCFCFC"/>
        </w:rPr>
        <w:t xml:space="preserve"> ranking of “Best-In-State Wealth Advisors,”</w:t>
      </w:r>
      <w:r w:rsidRPr="00D7407F">
        <w:rPr>
          <w:rFonts w:ascii="Calibri" w:hAnsi="Calibri" w:cs="Calibri"/>
          <w:i/>
          <w:iCs/>
          <w:color w:val="A5A5A5"/>
          <w:sz w:val="16"/>
          <w:szCs w:val="16"/>
          <w:shd w:val="clear" w:color="auto" w:fill="FCFCFC"/>
        </w:rPr>
        <w:t xml:space="preserve"> developed by </w:t>
      </w:r>
      <w:hyperlink r:id="rId11" w:history="1">
        <w:r w:rsidRPr="00D7407F">
          <w:rPr>
            <w:rStyle w:val="Hyperlink"/>
            <w:rFonts w:ascii="Calibri" w:hAnsi="Calibri" w:cs="Calibri"/>
            <w:i/>
            <w:iCs/>
            <w:color w:val="A5A5A5"/>
            <w:sz w:val="16"/>
            <w:szCs w:val="16"/>
            <w:shd w:val="clear" w:color="auto" w:fill="FCFCFC"/>
          </w:rPr>
          <w:t>SHOOK Research</w:t>
        </w:r>
      </w:hyperlink>
      <w:r w:rsidRPr="00D7407F">
        <w:rPr>
          <w:rFonts w:ascii="Calibri" w:hAnsi="Calibri" w:cs="Calibri"/>
          <w:i/>
          <w:iCs/>
          <w:color w:val="A5A5A5"/>
          <w:sz w:val="16"/>
          <w:szCs w:val="16"/>
          <w:shd w:val="clear" w:color="auto" w:fill="FCFCFC"/>
        </w:rPr>
        <w:t>, is based on an algorithm of qualitative criteria, mostly gained through telephone and in-person due diligence interviews, and quantitative data. Those advisors that are considered have a minimum of seven years’ experience, and the algorithm weights factors like revenue trends, assets under management, compliance records, industry experience and those that encompass best practices in their practices and approach to working with clients. Portfolio performance is not a criterion due to varying client objectives and lack of audited data. Neither Forbes nor SHOOK receive a fee in exchange for rankings</w:t>
      </w:r>
    </w:p>
    <w:p w14:paraId="0C3CE3C3" w14:textId="77777777" w:rsidR="00960CFA" w:rsidRPr="00D7407F" w:rsidRDefault="00960CFA" w:rsidP="00960CFA">
      <w:pPr>
        <w:shd w:val="clear" w:color="auto" w:fill="FFFFFF"/>
        <w:rPr>
          <w:rFonts w:ascii="Calibri" w:hAnsi="Calibri" w:cs="Calibri"/>
          <w:color w:val="A5A5A5"/>
          <w:sz w:val="16"/>
          <w:szCs w:val="16"/>
        </w:rPr>
      </w:pPr>
      <w:r w:rsidRPr="00D7407F">
        <w:rPr>
          <w:rFonts w:ascii="Calibri" w:hAnsi="Calibri" w:cs="Calibri"/>
          <w:b/>
          <w:bCs/>
          <w:i/>
          <w:iCs/>
          <w:color w:val="A5A5A5"/>
          <w:sz w:val="16"/>
          <w:szCs w:val="16"/>
        </w:rPr>
        <w:t>ANY QUESTIONS:</w:t>
      </w:r>
      <w:r w:rsidRPr="00D7407F">
        <w:rPr>
          <w:rFonts w:ascii="Calibri" w:hAnsi="Calibri" w:cs="Calibri"/>
          <w:i/>
          <w:iCs/>
          <w:color w:val="A5A5A5"/>
          <w:sz w:val="16"/>
          <w:szCs w:val="16"/>
        </w:rPr>
        <w:t xml:space="preserve"> ICC’s Chief Compliance Officer remains available to address any questions regarding rankings and/or recognitions, including the criteria used for any reflected ranking. Please review </w:t>
      </w:r>
      <w:hyperlink r:id="rId12" w:history="1">
        <w:r w:rsidRPr="00D7407F">
          <w:rPr>
            <w:rStyle w:val="Hyperlink"/>
            <w:rFonts w:ascii="Calibri" w:hAnsi="Calibri" w:cs="Calibri"/>
            <w:b/>
            <w:bCs/>
            <w:i/>
            <w:iCs/>
            <w:color w:val="A5A5A5"/>
            <w:sz w:val="16"/>
            <w:szCs w:val="16"/>
          </w:rPr>
          <w:t xml:space="preserve">Important Disclosure Information </w:t>
        </w:r>
      </w:hyperlink>
      <w:r w:rsidRPr="00D7407F">
        <w:rPr>
          <w:rFonts w:ascii="Calibri" w:hAnsi="Calibri" w:cs="Calibri"/>
          <w:i/>
          <w:iCs/>
          <w:color w:val="A5A5A5"/>
          <w:sz w:val="16"/>
          <w:szCs w:val="16"/>
        </w:rPr>
        <w:t>set forth in the last section of this website.</w:t>
      </w:r>
    </w:p>
    <w:sectPr w:rsidR="00960CFA" w:rsidRPr="00D7407F" w:rsidSect="00D5184F">
      <w:headerReference w:type="default" r:id="rId13"/>
      <w:pgSz w:w="12240" w:h="15840"/>
      <w:pgMar w:top="576" w:right="1440" w:bottom="576" w:left="129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405D5" w14:textId="77777777" w:rsidR="0033153B" w:rsidRDefault="0033153B" w:rsidP="00AF1905">
      <w:pPr>
        <w:spacing w:after="0" w:line="240" w:lineRule="auto"/>
      </w:pPr>
      <w:r>
        <w:separator/>
      </w:r>
    </w:p>
  </w:endnote>
  <w:endnote w:type="continuationSeparator" w:id="0">
    <w:p w14:paraId="59364728" w14:textId="77777777" w:rsidR="0033153B" w:rsidRDefault="0033153B" w:rsidP="00AF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F0F1D" w14:textId="77777777" w:rsidR="0033153B" w:rsidRDefault="0033153B" w:rsidP="00AF1905">
      <w:pPr>
        <w:spacing w:after="0" w:line="240" w:lineRule="auto"/>
      </w:pPr>
      <w:r>
        <w:separator/>
      </w:r>
    </w:p>
  </w:footnote>
  <w:footnote w:type="continuationSeparator" w:id="0">
    <w:p w14:paraId="017D5A5F" w14:textId="77777777" w:rsidR="0033153B" w:rsidRDefault="0033153B" w:rsidP="00AF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EE38" w14:textId="5D60F677" w:rsidR="00AF1905" w:rsidRDefault="00AF1905" w:rsidP="00AF19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02"/>
    <w:rsid w:val="0000036D"/>
    <w:rsid w:val="00052651"/>
    <w:rsid w:val="00066DE4"/>
    <w:rsid w:val="000712FC"/>
    <w:rsid w:val="00084E64"/>
    <w:rsid w:val="00090994"/>
    <w:rsid w:val="00092765"/>
    <w:rsid w:val="00093992"/>
    <w:rsid w:val="000949D0"/>
    <w:rsid w:val="000C7ADA"/>
    <w:rsid w:val="000D6E91"/>
    <w:rsid w:val="00155E27"/>
    <w:rsid w:val="00163DB7"/>
    <w:rsid w:val="00172D3D"/>
    <w:rsid w:val="00177C26"/>
    <w:rsid w:val="001871C1"/>
    <w:rsid w:val="001F607C"/>
    <w:rsid w:val="00236222"/>
    <w:rsid w:val="002A0373"/>
    <w:rsid w:val="002B4856"/>
    <w:rsid w:val="002E1241"/>
    <w:rsid w:val="002F2862"/>
    <w:rsid w:val="0033153B"/>
    <w:rsid w:val="0034384D"/>
    <w:rsid w:val="003772C8"/>
    <w:rsid w:val="003D5982"/>
    <w:rsid w:val="003F753C"/>
    <w:rsid w:val="004005EA"/>
    <w:rsid w:val="00412364"/>
    <w:rsid w:val="00434F38"/>
    <w:rsid w:val="00436476"/>
    <w:rsid w:val="00447DC5"/>
    <w:rsid w:val="0046467B"/>
    <w:rsid w:val="004A518B"/>
    <w:rsid w:val="004B6EF4"/>
    <w:rsid w:val="004C33CC"/>
    <w:rsid w:val="004D3FEE"/>
    <w:rsid w:val="00587949"/>
    <w:rsid w:val="005A7E6B"/>
    <w:rsid w:val="005B4C02"/>
    <w:rsid w:val="006304D0"/>
    <w:rsid w:val="006527D2"/>
    <w:rsid w:val="0066157B"/>
    <w:rsid w:val="0066489A"/>
    <w:rsid w:val="0066694C"/>
    <w:rsid w:val="0067066D"/>
    <w:rsid w:val="006B7C17"/>
    <w:rsid w:val="006D27F9"/>
    <w:rsid w:val="006F2AA8"/>
    <w:rsid w:val="007736AD"/>
    <w:rsid w:val="007B093E"/>
    <w:rsid w:val="0088455E"/>
    <w:rsid w:val="008A6F3F"/>
    <w:rsid w:val="008C4A8E"/>
    <w:rsid w:val="00960CFA"/>
    <w:rsid w:val="009926E1"/>
    <w:rsid w:val="009C14C9"/>
    <w:rsid w:val="009C7FAC"/>
    <w:rsid w:val="009D6636"/>
    <w:rsid w:val="009E4E67"/>
    <w:rsid w:val="009E6B6E"/>
    <w:rsid w:val="00A03864"/>
    <w:rsid w:val="00A10FAC"/>
    <w:rsid w:val="00A33536"/>
    <w:rsid w:val="00A4557F"/>
    <w:rsid w:val="00A66F85"/>
    <w:rsid w:val="00A90927"/>
    <w:rsid w:val="00A93D50"/>
    <w:rsid w:val="00AA1B0C"/>
    <w:rsid w:val="00AB0E8E"/>
    <w:rsid w:val="00AB1963"/>
    <w:rsid w:val="00AD19BF"/>
    <w:rsid w:val="00AD4C5E"/>
    <w:rsid w:val="00AE2856"/>
    <w:rsid w:val="00AF105E"/>
    <w:rsid w:val="00AF1905"/>
    <w:rsid w:val="00AF36B1"/>
    <w:rsid w:val="00AF444A"/>
    <w:rsid w:val="00B33AAB"/>
    <w:rsid w:val="00B33F1F"/>
    <w:rsid w:val="00B444F7"/>
    <w:rsid w:val="00B45101"/>
    <w:rsid w:val="00B50368"/>
    <w:rsid w:val="00B61764"/>
    <w:rsid w:val="00B64C24"/>
    <w:rsid w:val="00B72D2E"/>
    <w:rsid w:val="00B920D5"/>
    <w:rsid w:val="00BD78EA"/>
    <w:rsid w:val="00BF2C0E"/>
    <w:rsid w:val="00BF6CF1"/>
    <w:rsid w:val="00C33008"/>
    <w:rsid w:val="00C57B8C"/>
    <w:rsid w:val="00C7351C"/>
    <w:rsid w:val="00D0678D"/>
    <w:rsid w:val="00D22BA1"/>
    <w:rsid w:val="00D34603"/>
    <w:rsid w:val="00D40CDE"/>
    <w:rsid w:val="00D5184F"/>
    <w:rsid w:val="00D626D0"/>
    <w:rsid w:val="00D7407F"/>
    <w:rsid w:val="00D9414B"/>
    <w:rsid w:val="00DA055A"/>
    <w:rsid w:val="00DA122E"/>
    <w:rsid w:val="00DB3A2A"/>
    <w:rsid w:val="00DF5EAD"/>
    <w:rsid w:val="00DF63D2"/>
    <w:rsid w:val="00E055E5"/>
    <w:rsid w:val="00E15FB1"/>
    <w:rsid w:val="00E373D1"/>
    <w:rsid w:val="00E41F8D"/>
    <w:rsid w:val="00E52102"/>
    <w:rsid w:val="00E64467"/>
    <w:rsid w:val="00E66AD5"/>
    <w:rsid w:val="00E6702A"/>
    <w:rsid w:val="00E759EE"/>
    <w:rsid w:val="00E81B23"/>
    <w:rsid w:val="00EB04D5"/>
    <w:rsid w:val="00EB0D7D"/>
    <w:rsid w:val="00EB1680"/>
    <w:rsid w:val="00EC3986"/>
    <w:rsid w:val="00EE63BC"/>
    <w:rsid w:val="00EF06EA"/>
    <w:rsid w:val="00EF5276"/>
    <w:rsid w:val="00F01132"/>
    <w:rsid w:val="00F1137E"/>
    <w:rsid w:val="00F16FAC"/>
    <w:rsid w:val="00F24257"/>
    <w:rsid w:val="00F9164D"/>
    <w:rsid w:val="00F92A46"/>
    <w:rsid w:val="00FA3067"/>
    <w:rsid w:val="00FC3A26"/>
    <w:rsid w:val="00FE2FB3"/>
    <w:rsid w:val="00FF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E431"/>
  <w15:chartTrackingRefBased/>
  <w15:docId w15:val="{07BA69ED-DB4C-49B9-A547-CB160F7F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102"/>
    <w:rPr>
      <w:rFonts w:eastAsiaTheme="majorEastAsia" w:cstheme="majorBidi"/>
      <w:color w:val="272727" w:themeColor="text1" w:themeTint="D8"/>
    </w:rPr>
  </w:style>
  <w:style w:type="paragraph" w:styleId="Title">
    <w:name w:val="Title"/>
    <w:basedOn w:val="Normal"/>
    <w:next w:val="Normal"/>
    <w:link w:val="TitleChar"/>
    <w:uiPriority w:val="10"/>
    <w:qFormat/>
    <w:rsid w:val="00E52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102"/>
    <w:pPr>
      <w:spacing w:before="160"/>
      <w:jc w:val="center"/>
    </w:pPr>
    <w:rPr>
      <w:i/>
      <w:iCs/>
      <w:color w:val="404040" w:themeColor="text1" w:themeTint="BF"/>
    </w:rPr>
  </w:style>
  <w:style w:type="character" w:customStyle="1" w:styleId="QuoteChar">
    <w:name w:val="Quote Char"/>
    <w:basedOn w:val="DefaultParagraphFont"/>
    <w:link w:val="Quote"/>
    <w:uiPriority w:val="29"/>
    <w:rsid w:val="00E52102"/>
    <w:rPr>
      <w:i/>
      <w:iCs/>
      <w:color w:val="404040" w:themeColor="text1" w:themeTint="BF"/>
    </w:rPr>
  </w:style>
  <w:style w:type="paragraph" w:styleId="ListParagraph">
    <w:name w:val="List Paragraph"/>
    <w:basedOn w:val="Normal"/>
    <w:uiPriority w:val="34"/>
    <w:qFormat/>
    <w:rsid w:val="00E52102"/>
    <w:pPr>
      <w:ind w:left="720"/>
      <w:contextualSpacing/>
    </w:pPr>
  </w:style>
  <w:style w:type="character" w:styleId="IntenseEmphasis">
    <w:name w:val="Intense Emphasis"/>
    <w:basedOn w:val="DefaultParagraphFont"/>
    <w:uiPriority w:val="21"/>
    <w:qFormat/>
    <w:rsid w:val="00E52102"/>
    <w:rPr>
      <w:i/>
      <w:iCs/>
      <w:color w:val="0F4761" w:themeColor="accent1" w:themeShade="BF"/>
    </w:rPr>
  </w:style>
  <w:style w:type="paragraph" w:styleId="IntenseQuote">
    <w:name w:val="Intense Quote"/>
    <w:basedOn w:val="Normal"/>
    <w:next w:val="Normal"/>
    <w:link w:val="IntenseQuoteChar"/>
    <w:uiPriority w:val="30"/>
    <w:qFormat/>
    <w:rsid w:val="00E52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102"/>
    <w:rPr>
      <w:i/>
      <w:iCs/>
      <w:color w:val="0F4761" w:themeColor="accent1" w:themeShade="BF"/>
    </w:rPr>
  </w:style>
  <w:style w:type="character" w:styleId="IntenseReference">
    <w:name w:val="Intense Reference"/>
    <w:basedOn w:val="DefaultParagraphFont"/>
    <w:uiPriority w:val="32"/>
    <w:qFormat/>
    <w:rsid w:val="00E52102"/>
    <w:rPr>
      <w:b/>
      <w:bCs/>
      <w:smallCaps/>
      <w:color w:val="0F4761" w:themeColor="accent1" w:themeShade="BF"/>
      <w:spacing w:val="5"/>
    </w:rPr>
  </w:style>
  <w:style w:type="character" w:styleId="Hyperlink">
    <w:name w:val="Hyperlink"/>
    <w:basedOn w:val="DefaultParagraphFont"/>
    <w:uiPriority w:val="99"/>
    <w:unhideWhenUsed/>
    <w:rsid w:val="002A0373"/>
    <w:rPr>
      <w:color w:val="467886" w:themeColor="hyperlink"/>
      <w:u w:val="single"/>
    </w:rPr>
  </w:style>
  <w:style w:type="character" w:styleId="UnresolvedMention">
    <w:name w:val="Unresolved Mention"/>
    <w:basedOn w:val="DefaultParagraphFont"/>
    <w:uiPriority w:val="99"/>
    <w:semiHidden/>
    <w:unhideWhenUsed/>
    <w:rsid w:val="002A0373"/>
    <w:rPr>
      <w:color w:val="605E5C"/>
      <w:shd w:val="clear" w:color="auto" w:fill="E1DFDD"/>
    </w:rPr>
  </w:style>
  <w:style w:type="paragraph" w:styleId="NormalWeb">
    <w:name w:val="Normal (Web)"/>
    <w:basedOn w:val="Normal"/>
    <w:uiPriority w:val="99"/>
    <w:semiHidden/>
    <w:unhideWhenUsed/>
    <w:rsid w:val="007736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444F7"/>
    <w:pPr>
      <w:spacing w:after="0" w:line="240" w:lineRule="auto"/>
    </w:pPr>
  </w:style>
  <w:style w:type="paragraph" w:styleId="Header">
    <w:name w:val="header"/>
    <w:basedOn w:val="Normal"/>
    <w:link w:val="HeaderChar"/>
    <w:uiPriority w:val="99"/>
    <w:unhideWhenUsed/>
    <w:rsid w:val="00AF1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05"/>
  </w:style>
  <w:style w:type="paragraph" w:styleId="Footer">
    <w:name w:val="footer"/>
    <w:basedOn w:val="Normal"/>
    <w:link w:val="FooterChar"/>
    <w:uiPriority w:val="99"/>
    <w:unhideWhenUsed/>
    <w:rsid w:val="00AF1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6566">
      <w:bodyDiv w:val="1"/>
      <w:marLeft w:val="0"/>
      <w:marRight w:val="0"/>
      <w:marTop w:val="0"/>
      <w:marBottom w:val="0"/>
      <w:divBdr>
        <w:top w:val="none" w:sz="0" w:space="0" w:color="auto"/>
        <w:left w:val="none" w:sz="0" w:space="0" w:color="auto"/>
        <w:bottom w:val="none" w:sz="0" w:space="0" w:color="auto"/>
        <w:right w:val="none" w:sz="0" w:space="0" w:color="auto"/>
      </w:divBdr>
    </w:div>
    <w:div w:id="264653478">
      <w:bodyDiv w:val="1"/>
      <w:marLeft w:val="0"/>
      <w:marRight w:val="0"/>
      <w:marTop w:val="0"/>
      <w:marBottom w:val="0"/>
      <w:divBdr>
        <w:top w:val="none" w:sz="0" w:space="0" w:color="auto"/>
        <w:left w:val="none" w:sz="0" w:space="0" w:color="auto"/>
        <w:bottom w:val="none" w:sz="0" w:space="0" w:color="auto"/>
        <w:right w:val="none" w:sz="0" w:space="0" w:color="auto"/>
      </w:divBdr>
    </w:div>
    <w:div w:id="660810782">
      <w:bodyDiv w:val="1"/>
      <w:marLeft w:val="0"/>
      <w:marRight w:val="0"/>
      <w:marTop w:val="0"/>
      <w:marBottom w:val="0"/>
      <w:divBdr>
        <w:top w:val="none" w:sz="0" w:space="0" w:color="auto"/>
        <w:left w:val="none" w:sz="0" w:space="0" w:color="auto"/>
        <w:bottom w:val="none" w:sz="0" w:space="0" w:color="auto"/>
        <w:right w:val="none" w:sz="0" w:space="0" w:color="auto"/>
      </w:divBdr>
    </w:div>
    <w:div w:id="677075518">
      <w:bodyDiv w:val="1"/>
      <w:marLeft w:val="0"/>
      <w:marRight w:val="0"/>
      <w:marTop w:val="0"/>
      <w:marBottom w:val="0"/>
      <w:divBdr>
        <w:top w:val="none" w:sz="0" w:space="0" w:color="auto"/>
        <w:left w:val="none" w:sz="0" w:space="0" w:color="auto"/>
        <w:bottom w:val="none" w:sz="0" w:space="0" w:color="auto"/>
        <w:right w:val="none" w:sz="0" w:space="0" w:color="auto"/>
      </w:divBdr>
    </w:div>
    <w:div w:id="691492808">
      <w:bodyDiv w:val="1"/>
      <w:marLeft w:val="0"/>
      <w:marRight w:val="0"/>
      <w:marTop w:val="0"/>
      <w:marBottom w:val="0"/>
      <w:divBdr>
        <w:top w:val="none" w:sz="0" w:space="0" w:color="auto"/>
        <w:left w:val="none" w:sz="0" w:space="0" w:color="auto"/>
        <w:bottom w:val="none" w:sz="0" w:space="0" w:color="auto"/>
        <w:right w:val="none" w:sz="0" w:space="0" w:color="auto"/>
      </w:divBdr>
    </w:div>
    <w:div w:id="1530797159">
      <w:bodyDiv w:val="1"/>
      <w:marLeft w:val="0"/>
      <w:marRight w:val="0"/>
      <w:marTop w:val="0"/>
      <w:marBottom w:val="0"/>
      <w:divBdr>
        <w:top w:val="none" w:sz="0" w:space="0" w:color="auto"/>
        <w:left w:val="none" w:sz="0" w:space="0" w:color="auto"/>
        <w:bottom w:val="none" w:sz="0" w:space="0" w:color="auto"/>
        <w:right w:val="none" w:sz="0" w:space="0" w:color="auto"/>
      </w:divBdr>
    </w:div>
    <w:div w:id="20851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debtclock.org./" TargetMode="External"/><Relationship Id="rId12" Type="http://schemas.openxmlformats.org/officeDocument/2006/relationships/hyperlink" Target="https://nam11.safelinks.protection.outlook.com/?url=https%3A%2F%2Ficcnv.avistaserver.com%2Fdisclosure%2F&amp;data=05%7C02%7Cdawn%40iccnv.com%7C8edeb8c172fe47c14a1308dbfcd01d69%7C534c2235976b4de186428e26ad3e4007%7C1%7C0%7C638381743015990586%7CUnknown%7CTWFpbGZsb3d8eyJWIjoiMC4wLjAwMDAiLCJQIjoiV2luMzIiLCJBTiI6Ik1haWwiLCJXVCI6Mn0%3D%7C3000%7C%7C%7C&amp;sdata=1Y4H%2FWf%2BCh8FOa38EYoITAkU0xRBGdWa9%2F77xhjini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nam11.safelinks.protection.outlook.com/?url=http%3A%2F%2Fwww.shookresearch.com%2F&amp;data=05%7C02%7Cdawn%40iccnv.com%7C8edeb8c172fe47c14a1308dbfcd01d69%7C534c2235976b4de186428e26ad3e4007%7C1%7C0%7C638381743015990586%7CUnknown%7CTWFpbGZsb3d8eyJWIjoiMC4wLjAwMDAiLCJQIjoiV2luMzIiLCJBTiI6Ik1haWwiLCJXVCI6Mn0%3D%7C3000%7C%7C%7C&amp;sdata=E24SabNKAReLojmu1o4pTj4hEiyfythR9%2FYypoJH43I%3D&amp;reserved=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ccnv.com" TargetMode="External"/><Relationship Id="rId4" Type="http://schemas.openxmlformats.org/officeDocument/2006/relationships/footnotes" Target="footnotes.xml"/><Relationship Id="rId9" Type="http://schemas.openxmlformats.org/officeDocument/2006/relationships/image" Target="cid:image003.png@01DAD444.F92299F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Garcia</dc:creator>
  <cp:keywords/>
  <dc:description/>
  <cp:lastModifiedBy>Lynn Lemond</cp:lastModifiedBy>
  <cp:revision>2</cp:revision>
  <cp:lastPrinted>2024-07-12T16:29:00Z</cp:lastPrinted>
  <dcterms:created xsi:type="dcterms:W3CDTF">2024-07-12T18:08:00Z</dcterms:created>
  <dcterms:modified xsi:type="dcterms:W3CDTF">2024-07-12T18:08:00Z</dcterms:modified>
</cp:coreProperties>
</file>